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4292" w14:textId="77777777" w:rsidR="00A3375C" w:rsidRPr="00926B38" w:rsidRDefault="00A3375C" w:rsidP="00926B38">
      <w:pPr>
        <w:pStyle w:val="1"/>
        <w:spacing w:before="0" w:after="0"/>
        <w:ind w:firstLine="709"/>
        <w:jc w:val="right"/>
        <w:rPr>
          <w:rFonts w:asciiTheme="majorBidi" w:hAnsiTheme="majorBidi" w:cstheme="majorBidi"/>
          <w:b w:val="0"/>
          <w:bCs/>
          <w:sz w:val="24"/>
          <w:szCs w:val="24"/>
          <w:lang w:val="ro-RO"/>
        </w:rPr>
      </w:pPr>
      <w:bookmarkStart w:id="0" w:name="_Toc495395277"/>
      <w:r w:rsidRPr="00926B38">
        <w:rPr>
          <w:rFonts w:asciiTheme="majorBidi" w:hAnsiTheme="majorBidi" w:cstheme="majorBidi"/>
          <w:b w:val="0"/>
          <w:bCs/>
          <w:sz w:val="24"/>
          <w:szCs w:val="24"/>
          <w:lang w:val="ro-RO"/>
        </w:rPr>
        <w:t>Anexa nr. 8</w:t>
      </w:r>
      <w:bookmarkEnd w:id="0"/>
    </w:p>
    <w:p w14:paraId="0AC5A6DF" w14:textId="77777777" w:rsidR="00A3375C" w:rsidRPr="00926B38" w:rsidRDefault="00A3375C" w:rsidP="00926B38">
      <w:pPr>
        <w:tabs>
          <w:tab w:val="left" w:pos="1134"/>
        </w:tabs>
        <w:ind w:firstLine="709"/>
        <w:jc w:val="right"/>
        <w:rPr>
          <w:rFonts w:asciiTheme="majorBidi" w:hAnsiTheme="majorBidi" w:cstheme="majorBidi"/>
          <w:color w:val="000000"/>
          <w:sz w:val="24"/>
          <w:szCs w:val="24"/>
          <w:shd w:val="clear" w:color="auto" w:fill="FFFFFF"/>
          <w:lang w:val="ro-RO"/>
        </w:rPr>
      </w:pPr>
      <w:r w:rsidRPr="00926B38">
        <w:rPr>
          <w:rFonts w:asciiTheme="majorBidi" w:hAnsiTheme="majorBidi" w:cstheme="majorBidi"/>
          <w:sz w:val="24"/>
          <w:szCs w:val="24"/>
          <w:lang w:val="ro-RO" w:eastAsia="ru-RU"/>
        </w:rPr>
        <w:t xml:space="preserve">la </w:t>
      </w:r>
      <w:r w:rsidRPr="00926B38">
        <w:rPr>
          <w:rFonts w:asciiTheme="majorBidi" w:hAnsiTheme="majorBidi" w:cstheme="majorBidi"/>
          <w:color w:val="000000"/>
          <w:sz w:val="24"/>
          <w:szCs w:val="24"/>
          <w:shd w:val="clear" w:color="auto" w:fill="FFFFFF"/>
          <w:lang w:val="ro-RO"/>
        </w:rPr>
        <w:t xml:space="preserve">Regulamentul privind deșeurile </w:t>
      </w:r>
    </w:p>
    <w:p w14:paraId="5B9F6598" w14:textId="77777777" w:rsidR="00A3375C" w:rsidRPr="00926B38" w:rsidRDefault="00A3375C" w:rsidP="00926B38">
      <w:pPr>
        <w:tabs>
          <w:tab w:val="left" w:pos="1134"/>
        </w:tabs>
        <w:ind w:firstLine="709"/>
        <w:jc w:val="right"/>
        <w:rPr>
          <w:rFonts w:asciiTheme="majorBidi" w:hAnsiTheme="majorBidi" w:cstheme="majorBidi"/>
          <w:sz w:val="24"/>
          <w:szCs w:val="24"/>
          <w:lang w:val="ro-RO" w:eastAsia="ru-RU"/>
        </w:rPr>
      </w:pPr>
      <w:r w:rsidRPr="00926B38">
        <w:rPr>
          <w:rFonts w:asciiTheme="majorBidi" w:hAnsiTheme="majorBidi" w:cstheme="majorBidi"/>
          <w:color w:val="000000"/>
          <w:sz w:val="24"/>
          <w:szCs w:val="24"/>
          <w:shd w:val="clear" w:color="auto" w:fill="FFFFFF"/>
          <w:lang w:val="ro-RO"/>
        </w:rPr>
        <w:t>de echipamente electrice și electronice</w:t>
      </w:r>
    </w:p>
    <w:p w14:paraId="0D0954FC" w14:textId="77777777" w:rsidR="00A3375C" w:rsidRPr="00926B38" w:rsidRDefault="00A3375C" w:rsidP="00926B38">
      <w:pPr>
        <w:tabs>
          <w:tab w:val="left" w:pos="1134"/>
        </w:tabs>
        <w:ind w:firstLine="709"/>
        <w:jc w:val="right"/>
        <w:rPr>
          <w:rFonts w:asciiTheme="majorBidi" w:hAnsiTheme="majorBidi" w:cstheme="majorBidi"/>
          <w:sz w:val="24"/>
          <w:szCs w:val="24"/>
          <w:lang w:val="ro-RO" w:eastAsia="ru-RU"/>
        </w:rPr>
      </w:pPr>
    </w:p>
    <w:p w14:paraId="3A0DF614" w14:textId="77777777" w:rsidR="00A3375C" w:rsidRPr="00926B38" w:rsidRDefault="00A3375C" w:rsidP="00926B38">
      <w:pPr>
        <w:ind w:firstLine="709"/>
        <w:rPr>
          <w:sz w:val="24"/>
          <w:szCs w:val="24"/>
          <w:lang w:val="ro-RO"/>
        </w:rPr>
      </w:pPr>
    </w:p>
    <w:p w14:paraId="44A62F63" w14:textId="77777777" w:rsidR="00A3375C" w:rsidRPr="00926B38" w:rsidRDefault="00A3375C" w:rsidP="00926B38">
      <w:pPr>
        <w:pStyle w:val="1"/>
        <w:spacing w:before="0" w:after="0"/>
        <w:ind w:firstLine="709"/>
        <w:jc w:val="center"/>
        <w:rPr>
          <w:rFonts w:asciiTheme="majorBidi" w:hAnsiTheme="majorBidi" w:cstheme="majorBidi"/>
          <w:sz w:val="24"/>
          <w:szCs w:val="24"/>
          <w:lang w:val="ro-RO"/>
        </w:rPr>
      </w:pPr>
      <w:bookmarkStart w:id="1" w:name="_Toc495395278"/>
    </w:p>
    <w:p w14:paraId="3674C5CD" w14:textId="77777777" w:rsidR="00A3375C" w:rsidRPr="00926B38" w:rsidRDefault="00A3375C" w:rsidP="00926B38">
      <w:pPr>
        <w:pStyle w:val="1"/>
        <w:spacing w:before="0" w:after="0"/>
        <w:ind w:firstLine="709"/>
        <w:jc w:val="center"/>
        <w:rPr>
          <w:rFonts w:asciiTheme="majorBidi" w:hAnsiTheme="majorBidi" w:cstheme="majorBidi"/>
          <w:sz w:val="24"/>
          <w:szCs w:val="24"/>
          <w:lang w:val="ro-RO"/>
        </w:rPr>
      </w:pPr>
      <w:r w:rsidRPr="00926B38">
        <w:rPr>
          <w:rFonts w:asciiTheme="majorBidi" w:hAnsiTheme="majorBidi" w:cstheme="majorBidi"/>
          <w:sz w:val="24"/>
          <w:szCs w:val="24"/>
          <w:lang w:val="ro-RO"/>
        </w:rPr>
        <w:t>STRUCTURA</w:t>
      </w:r>
    </w:p>
    <w:p w14:paraId="38D52556" w14:textId="7A82F27F" w:rsidR="00A3375C" w:rsidRPr="00926B38" w:rsidRDefault="00A3375C" w:rsidP="00926B38">
      <w:pPr>
        <w:pStyle w:val="1"/>
        <w:spacing w:before="0" w:after="0"/>
        <w:ind w:firstLine="709"/>
        <w:jc w:val="center"/>
        <w:rPr>
          <w:rFonts w:asciiTheme="majorBidi" w:hAnsiTheme="majorBidi" w:cstheme="majorBidi"/>
          <w:sz w:val="24"/>
          <w:szCs w:val="24"/>
          <w:lang w:val="ro-RO"/>
        </w:rPr>
      </w:pPr>
      <w:r w:rsidRPr="00926B38">
        <w:rPr>
          <w:rFonts w:asciiTheme="majorBidi" w:hAnsiTheme="majorBidi" w:cstheme="majorBidi"/>
          <w:sz w:val="24"/>
          <w:szCs w:val="24"/>
          <w:lang w:val="ro-RO"/>
        </w:rPr>
        <w:t xml:space="preserve">planului </w:t>
      </w:r>
      <w:r w:rsidR="008632C4">
        <w:rPr>
          <w:rFonts w:asciiTheme="majorBidi" w:hAnsiTheme="majorBidi" w:cstheme="majorBidi"/>
          <w:sz w:val="24"/>
          <w:szCs w:val="24"/>
          <w:lang w:val="ro-RO"/>
        </w:rPr>
        <w:t>operațional</w:t>
      </w:r>
      <w:r w:rsidRPr="00926B38">
        <w:rPr>
          <w:rFonts w:asciiTheme="majorBidi" w:hAnsiTheme="majorBidi" w:cstheme="majorBidi"/>
          <w:sz w:val="24"/>
          <w:szCs w:val="24"/>
          <w:lang w:val="ro-RO"/>
        </w:rPr>
        <w:t xml:space="preserve"> a sistemului individual și colectiv</w:t>
      </w:r>
      <w:bookmarkEnd w:id="1"/>
    </w:p>
    <w:p w14:paraId="6406223E" w14:textId="77777777" w:rsidR="00A3375C" w:rsidRPr="00926B38" w:rsidRDefault="00A3375C" w:rsidP="00926B38">
      <w:pPr>
        <w:ind w:firstLine="709"/>
        <w:rPr>
          <w:rFonts w:asciiTheme="majorBidi" w:hAnsiTheme="majorBidi" w:cstheme="majorBidi"/>
          <w:color w:val="000000"/>
          <w:sz w:val="24"/>
          <w:szCs w:val="24"/>
          <w:lang w:val="ro-RO"/>
        </w:rPr>
      </w:pPr>
    </w:p>
    <w:p w14:paraId="5A5C81BC" w14:textId="773CC8EC"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1.</w:t>
      </w:r>
      <w:r w:rsidRPr="00926B38">
        <w:rPr>
          <w:rFonts w:asciiTheme="majorBidi" w:hAnsiTheme="majorBidi" w:cstheme="majorBidi"/>
          <w:color w:val="000000"/>
          <w:sz w:val="24"/>
          <w:szCs w:val="24"/>
          <w:lang w:val="ro-RO"/>
        </w:rPr>
        <w:t xml:space="preserve"> Structura planului </w:t>
      </w:r>
      <w:r w:rsidR="008632C4">
        <w:rPr>
          <w:rFonts w:asciiTheme="majorBidi" w:hAnsiTheme="majorBidi" w:cstheme="majorBidi"/>
          <w:color w:val="000000"/>
          <w:sz w:val="24"/>
          <w:szCs w:val="24"/>
          <w:lang w:val="ro-RO"/>
        </w:rPr>
        <w:t>operațional</w:t>
      </w:r>
      <w:r w:rsidRPr="00926B38">
        <w:rPr>
          <w:rFonts w:asciiTheme="majorBidi" w:hAnsiTheme="majorBidi" w:cstheme="majorBidi"/>
          <w:color w:val="000000"/>
          <w:sz w:val="24"/>
          <w:szCs w:val="24"/>
          <w:lang w:val="ro-RO"/>
        </w:rPr>
        <w:t xml:space="preserve">, în conformitate cu prevederile art. 25 alin.(6) din Legea nr. 209 din 29 iulie 2016 privind deșeurile cuprinde </w:t>
      </w:r>
      <w:proofErr w:type="spellStart"/>
      <w:r w:rsidRPr="00926B38">
        <w:rPr>
          <w:rFonts w:asciiTheme="majorBidi" w:hAnsiTheme="majorBidi" w:cstheme="majorBidi"/>
          <w:color w:val="000000"/>
          <w:sz w:val="24"/>
          <w:szCs w:val="24"/>
          <w:lang w:val="ro-RO"/>
        </w:rPr>
        <w:t>următaorele</w:t>
      </w:r>
      <w:proofErr w:type="spellEnd"/>
      <w:r w:rsidRPr="00926B38">
        <w:rPr>
          <w:rFonts w:asciiTheme="majorBidi" w:hAnsiTheme="majorBidi" w:cstheme="majorBidi"/>
          <w:color w:val="000000"/>
          <w:sz w:val="24"/>
          <w:szCs w:val="24"/>
          <w:lang w:val="ro-RO"/>
        </w:rPr>
        <w:t xml:space="preserve">. </w:t>
      </w:r>
    </w:p>
    <w:p w14:paraId="0C8209FA"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color w:val="000000"/>
          <w:sz w:val="24"/>
          <w:szCs w:val="24"/>
          <w:lang w:val="ro-RO"/>
        </w:rPr>
        <w:t>1)</w:t>
      </w:r>
      <w:r w:rsidRPr="00926B38">
        <w:rPr>
          <w:rFonts w:asciiTheme="majorBidi" w:hAnsiTheme="majorBidi" w:cstheme="majorBidi"/>
          <w:color w:val="000000"/>
          <w:sz w:val="24"/>
          <w:szCs w:val="24"/>
          <w:lang w:val="ro-RO"/>
        </w:rPr>
        <w:t xml:space="preserve"> Date de identificare: </w:t>
      </w:r>
    </w:p>
    <w:p w14:paraId="73C5748A"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a) date de identificare;</w:t>
      </w:r>
    </w:p>
    <w:p w14:paraId="7914BF3A"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b) adresa juridică și indicarea adreselor tuturor filialelor din țară, după caz; </w:t>
      </w:r>
    </w:p>
    <w:p w14:paraId="2BF8FFE5"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c) datele de contact;</w:t>
      </w:r>
    </w:p>
    <w:p w14:paraId="0A7DB65B" w14:textId="5CD6B2C3"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d) cuprinsul planului </w:t>
      </w:r>
      <w:r w:rsidR="008632C4" w:rsidRPr="008632C4">
        <w:rPr>
          <w:rFonts w:asciiTheme="majorBidi" w:hAnsiTheme="majorBidi" w:cstheme="majorBidi"/>
          <w:color w:val="000000"/>
          <w:sz w:val="24"/>
          <w:szCs w:val="24"/>
          <w:lang w:val="ro-RO"/>
        </w:rPr>
        <w:t>operaționa</w:t>
      </w:r>
      <w:r w:rsidR="008632C4">
        <w:rPr>
          <w:rFonts w:asciiTheme="majorBidi" w:hAnsiTheme="majorBidi" w:cstheme="majorBidi"/>
          <w:color w:val="000000"/>
          <w:sz w:val="24"/>
          <w:szCs w:val="24"/>
          <w:lang w:val="ro-RO"/>
        </w:rPr>
        <w:t>l</w:t>
      </w:r>
      <w:r w:rsidRPr="00926B38">
        <w:rPr>
          <w:rFonts w:asciiTheme="majorBidi" w:hAnsiTheme="majorBidi" w:cstheme="majorBidi"/>
          <w:color w:val="000000"/>
          <w:sz w:val="24"/>
          <w:szCs w:val="24"/>
          <w:lang w:val="ro-RO"/>
        </w:rPr>
        <w:t xml:space="preserve">; </w:t>
      </w:r>
    </w:p>
    <w:p w14:paraId="13C98373" w14:textId="6B2A9D05"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e) numele și funcția semnatarului planului </w:t>
      </w:r>
      <w:r w:rsidR="008632C4" w:rsidRPr="008632C4">
        <w:rPr>
          <w:rFonts w:asciiTheme="majorBidi" w:hAnsiTheme="majorBidi" w:cstheme="majorBidi"/>
          <w:color w:val="000000"/>
          <w:sz w:val="24"/>
          <w:szCs w:val="24"/>
          <w:lang w:val="ro-RO"/>
        </w:rPr>
        <w:t>operaționa</w:t>
      </w:r>
      <w:r w:rsidR="008632C4">
        <w:rPr>
          <w:rFonts w:asciiTheme="majorBidi" w:hAnsiTheme="majorBidi" w:cstheme="majorBidi"/>
          <w:color w:val="000000"/>
          <w:sz w:val="24"/>
          <w:szCs w:val="24"/>
          <w:lang w:val="ro-RO"/>
        </w:rPr>
        <w:t>l</w:t>
      </w:r>
      <w:r w:rsidRPr="00926B38">
        <w:rPr>
          <w:rFonts w:asciiTheme="majorBidi" w:hAnsiTheme="majorBidi" w:cstheme="majorBidi"/>
          <w:color w:val="000000"/>
          <w:sz w:val="24"/>
          <w:szCs w:val="24"/>
          <w:lang w:val="ro-RO"/>
        </w:rPr>
        <w:t xml:space="preserve">. </w:t>
      </w:r>
    </w:p>
    <w:p w14:paraId="34C483B5" w14:textId="29F996A3"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Pentru producătorii care își onorează responsabilitatea în mod colectiv, planul </w:t>
      </w:r>
      <w:r w:rsidR="008632C4" w:rsidRPr="008632C4">
        <w:rPr>
          <w:rFonts w:asciiTheme="majorBidi" w:hAnsiTheme="majorBidi" w:cstheme="majorBidi"/>
          <w:color w:val="000000"/>
          <w:sz w:val="24"/>
          <w:szCs w:val="24"/>
          <w:lang w:val="ro-RO"/>
        </w:rPr>
        <w:t>operaționa</w:t>
      </w:r>
      <w:r w:rsidR="008632C4">
        <w:rPr>
          <w:rFonts w:asciiTheme="majorBidi" w:hAnsiTheme="majorBidi" w:cstheme="majorBidi"/>
          <w:color w:val="000000"/>
          <w:sz w:val="24"/>
          <w:szCs w:val="24"/>
          <w:lang w:val="ro-RO"/>
        </w:rPr>
        <w:t xml:space="preserve">l </w:t>
      </w:r>
      <w:r w:rsidRPr="00926B38">
        <w:rPr>
          <w:rFonts w:asciiTheme="majorBidi" w:hAnsiTheme="majorBidi" w:cstheme="majorBidi"/>
          <w:color w:val="000000"/>
          <w:sz w:val="24"/>
          <w:szCs w:val="24"/>
          <w:lang w:val="ro-RO"/>
        </w:rPr>
        <w:t xml:space="preserve">reprezintă un plan comun, care descrie modul în care trebuie implementate prevederile specifice menționate în pct. 34 din Regulament.  Fiecare producător individual care face obiectul responsabilității extinse a producătorului trebuie să se înscrie într-un plan colectiv. </w:t>
      </w:r>
    </w:p>
    <w:p w14:paraId="71FD81AE"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Suplimentar la cerințele menționate la literele a)-e), un plan colectiv conține cel puțin o descriere: </w:t>
      </w:r>
    </w:p>
    <w:p w14:paraId="2564E2A1" w14:textId="77777777" w:rsidR="00A3375C" w:rsidRPr="00926B38" w:rsidRDefault="00A3375C" w:rsidP="00926B38">
      <w:pPr>
        <w:tabs>
          <w:tab w:val="left" w:pos="993"/>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a) a producătorilor care prezintă planul colectiv; </w:t>
      </w:r>
    </w:p>
    <w:p w14:paraId="2A56FC0D" w14:textId="0B9E9D09" w:rsidR="00A3375C" w:rsidRPr="00926B38" w:rsidRDefault="00A3375C" w:rsidP="00926B38">
      <w:pPr>
        <w:tabs>
          <w:tab w:val="left" w:pos="993"/>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b) a angajamentelor specifice și a </w:t>
      </w:r>
      <w:r w:rsidR="001C268C" w:rsidRPr="00926B38">
        <w:rPr>
          <w:rFonts w:asciiTheme="majorBidi" w:hAnsiTheme="majorBidi" w:cstheme="majorBidi"/>
          <w:color w:val="000000"/>
          <w:sz w:val="24"/>
          <w:szCs w:val="24"/>
          <w:lang w:val="ro-RO"/>
        </w:rPr>
        <w:t>țintelor</w:t>
      </w:r>
      <w:r w:rsidRPr="00926B38">
        <w:rPr>
          <w:rFonts w:asciiTheme="majorBidi" w:hAnsiTheme="majorBidi" w:cstheme="majorBidi"/>
          <w:color w:val="000000"/>
          <w:sz w:val="24"/>
          <w:szCs w:val="24"/>
          <w:lang w:val="ro-RO"/>
        </w:rPr>
        <w:t xml:space="preserve"> fiecărui producător.</w:t>
      </w:r>
    </w:p>
    <w:p w14:paraId="66105616" w14:textId="77777777" w:rsidR="00A3375C" w:rsidRPr="00926B38" w:rsidRDefault="00A3375C" w:rsidP="00926B38">
      <w:pPr>
        <w:ind w:firstLine="709"/>
        <w:rPr>
          <w:rFonts w:asciiTheme="majorBidi" w:hAnsiTheme="majorBidi" w:cstheme="majorBidi"/>
          <w:b/>
          <w:color w:val="000000"/>
          <w:sz w:val="24"/>
          <w:szCs w:val="24"/>
          <w:lang w:val="ro-RO"/>
        </w:rPr>
      </w:pPr>
    </w:p>
    <w:p w14:paraId="1BC38241"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color w:val="000000"/>
          <w:sz w:val="24"/>
          <w:szCs w:val="24"/>
          <w:lang w:val="ro-RO"/>
        </w:rPr>
        <w:t>2</w:t>
      </w:r>
      <w:r w:rsidRPr="00926B38">
        <w:rPr>
          <w:rFonts w:asciiTheme="majorBidi" w:hAnsiTheme="majorBidi" w:cstheme="majorBidi"/>
          <w:color w:val="000000"/>
          <w:sz w:val="24"/>
          <w:szCs w:val="24"/>
          <w:lang w:val="ro-RO"/>
        </w:rPr>
        <w:t xml:space="preserve">) Obiectul: </w:t>
      </w:r>
    </w:p>
    <w:p w14:paraId="3668BF8C" w14:textId="0FCAA26A"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a) indicarea categoriei/categoriilor de deșeuri care fac obiectul planului </w:t>
      </w:r>
      <w:r w:rsidR="008632C4" w:rsidRPr="008632C4">
        <w:rPr>
          <w:rFonts w:asciiTheme="majorBidi" w:hAnsiTheme="majorBidi" w:cstheme="majorBidi"/>
          <w:color w:val="000000"/>
          <w:sz w:val="24"/>
          <w:szCs w:val="24"/>
          <w:lang w:val="ro-RO"/>
        </w:rPr>
        <w:t>operaționa</w:t>
      </w:r>
      <w:r w:rsidR="008632C4">
        <w:rPr>
          <w:rFonts w:asciiTheme="majorBidi" w:hAnsiTheme="majorBidi" w:cstheme="majorBidi"/>
          <w:color w:val="000000"/>
          <w:sz w:val="24"/>
          <w:szCs w:val="24"/>
          <w:lang w:val="ro-RO"/>
        </w:rPr>
        <w:t xml:space="preserve">l </w:t>
      </w:r>
      <w:r w:rsidRPr="00926B38">
        <w:rPr>
          <w:rFonts w:asciiTheme="majorBidi" w:hAnsiTheme="majorBidi" w:cstheme="majorBidi"/>
          <w:color w:val="000000"/>
          <w:sz w:val="24"/>
          <w:szCs w:val="24"/>
          <w:lang w:val="ro-RO"/>
        </w:rPr>
        <w:t>și originea acestuia (gospodării casnice/business);</w:t>
      </w:r>
    </w:p>
    <w:p w14:paraId="6B891FB8"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b) descrierea clară a tuturor echipamentelor pe care compania le plasează pe piață ca producător/importator. Indicarea categoriei de echipament din anexa nr.1B la Regulament;</w:t>
      </w:r>
    </w:p>
    <w:p w14:paraId="0692C916" w14:textId="36BC93FF"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c) </w:t>
      </w:r>
      <w:r w:rsidRPr="00926B38">
        <w:rPr>
          <w:rFonts w:asciiTheme="majorBidi" w:hAnsiTheme="majorBidi" w:cstheme="majorBidi"/>
          <w:sz w:val="24"/>
          <w:szCs w:val="24"/>
          <w:lang w:val="ro-RO"/>
        </w:rPr>
        <w:t xml:space="preserve">estimarea cantități anuale </w:t>
      </w:r>
      <w:r w:rsidRPr="00926B38">
        <w:rPr>
          <w:rFonts w:asciiTheme="majorBidi" w:hAnsiTheme="majorBidi" w:cstheme="majorBidi"/>
          <w:color w:val="000000"/>
          <w:sz w:val="24"/>
          <w:szCs w:val="24"/>
          <w:lang w:val="ro-RO"/>
        </w:rPr>
        <w:t xml:space="preserve">de echipamente care fac obiectul planului </w:t>
      </w:r>
      <w:r w:rsidR="008632C4" w:rsidRPr="008632C4">
        <w:rPr>
          <w:rFonts w:asciiTheme="majorBidi" w:hAnsiTheme="majorBidi" w:cstheme="majorBidi"/>
          <w:color w:val="000000"/>
          <w:sz w:val="24"/>
          <w:szCs w:val="24"/>
          <w:lang w:val="ro-RO"/>
        </w:rPr>
        <w:t>operaționa</w:t>
      </w:r>
      <w:r w:rsidR="008632C4">
        <w:rPr>
          <w:rFonts w:asciiTheme="majorBidi" w:hAnsiTheme="majorBidi" w:cstheme="majorBidi"/>
          <w:color w:val="000000"/>
          <w:sz w:val="24"/>
          <w:szCs w:val="24"/>
          <w:lang w:val="ro-RO"/>
        </w:rPr>
        <w:t xml:space="preserve">l </w:t>
      </w:r>
      <w:r w:rsidRPr="00926B38">
        <w:rPr>
          <w:rFonts w:asciiTheme="majorBidi" w:hAnsiTheme="majorBidi" w:cstheme="majorBidi"/>
          <w:color w:val="000000"/>
          <w:sz w:val="24"/>
          <w:szCs w:val="24"/>
          <w:lang w:val="ro-RO"/>
        </w:rPr>
        <w:t>pe categorii</w:t>
      </w:r>
      <w:r w:rsidR="00BD6036" w:rsidRPr="00926B38">
        <w:rPr>
          <w:rFonts w:asciiTheme="majorBidi" w:hAnsiTheme="majorBidi" w:cstheme="majorBidi"/>
          <w:color w:val="000000"/>
          <w:sz w:val="24"/>
          <w:szCs w:val="24"/>
          <w:lang w:val="ro-RO"/>
        </w:rPr>
        <w:t xml:space="preserve"> </w:t>
      </w:r>
      <w:r w:rsidR="00BD6036" w:rsidRPr="00926B38">
        <w:rPr>
          <w:sz w:val="24"/>
          <w:szCs w:val="24"/>
          <w:lang w:val="ro-RO"/>
        </w:rPr>
        <w:t>și prognoza pentru următorii 5 ani</w:t>
      </w:r>
      <w:r w:rsidRPr="00926B38">
        <w:rPr>
          <w:rFonts w:asciiTheme="majorBidi" w:hAnsiTheme="majorBidi" w:cstheme="majorBidi"/>
          <w:color w:val="000000"/>
          <w:sz w:val="24"/>
          <w:szCs w:val="24"/>
          <w:lang w:val="ro-RO"/>
        </w:rPr>
        <w:t>.</w:t>
      </w:r>
    </w:p>
    <w:p w14:paraId="4839128E" w14:textId="77777777" w:rsidR="00A3375C" w:rsidRPr="00926B38" w:rsidRDefault="00A3375C" w:rsidP="00926B38">
      <w:pPr>
        <w:ind w:firstLine="709"/>
        <w:rPr>
          <w:rFonts w:asciiTheme="majorBidi" w:hAnsiTheme="majorBidi" w:cstheme="majorBidi"/>
          <w:b/>
          <w:bCs/>
          <w:color w:val="000000"/>
          <w:sz w:val="24"/>
          <w:szCs w:val="24"/>
          <w:lang w:val="ro-RO"/>
        </w:rPr>
      </w:pPr>
    </w:p>
    <w:p w14:paraId="5089A8F4"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3)</w:t>
      </w:r>
      <w:r w:rsidRPr="00926B38">
        <w:rPr>
          <w:rFonts w:asciiTheme="majorBidi" w:hAnsiTheme="majorBidi" w:cstheme="majorBidi"/>
          <w:color w:val="000000"/>
          <w:sz w:val="24"/>
          <w:szCs w:val="24"/>
          <w:lang w:val="ro-RO"/>
        </w:rPr>
        <w:t xml:space="preserve"> Acțiuni:  </w:t>
      </w:r>
    </w:p>
    <w:p w14:paraId="4C236A89"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a) descrierea modului în care </w:t>
      </w:r>
      <w:proofErr w:type="spellStart"/>
      <w:r w:rsidRPr="00926B38">
        <w:rPr>
          <w:rFonts w:asciiTheme="majorBidi" w:hAnsiTheme="majorBidi" w:cstheme="majorBidi"/>
          <w:color w:val="000000"/>
          <w:sz w:val="24"/>
          <w:szCs w:val="24"/>
          <w:lang w:val="ro-RO"/>
        </w:rPr>
        <w:t>sînt</w:t>
      </w:r>
      <w:proofErr w:type="spellEnd"/>
      <w:r w:rsidRPr="00926B38">
        <w:rPr>
          <w:rFonts w:asciiTheme="majorBidi" w:hAnsiTheme="majorBidi" w:cstheme="majorBidi"/>
          <w:color w:val="000000"/>
          <w:sz w:val="24"/>
          <w:szCs w:val="24"/>
          <w:lang w:val="ro-RO"/>
        </w:rPr>
        <w:t xml:space="preserve"> îndeplinite măsurile menționate la pct. 34 din Regulament, în special a următoarelor: </w:t>
      </w:r>
    </w:p>
    <w:p w14:paraId="05BAF811"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privind prevenirea și reutilizarea calitativă și cantitativă a deșeurilor, cum ar fi „Proiectare pentru reciclare”, reducerea cantității de deșeuri periculoase și a materialelor potențial periculoase din produsele plasate pe piață, oferirea datelor privind componentele periculoase ale echipamentului;</w:t>
      </w:r>
    </w:p>
    <w:p w14:paraId="70CB6609"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referitoare la colectarea selectivă a deșeurilor;</w:t>
      </w:r>
    </w:p>
    <w:p w14:paraId="46165A82"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pentru colectarea optimă și maximă a deșeurilor;</w:t>
      </w:r>
    </w:p>
    <w:p w14:paraId="629B1526" w14:textId="70AF8C0D"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măsurile privind tratarea optimă a deșeurilor în conformitate cu cerințele de mediu; acțiunile pentru atingerea </w:t>
      </w:r>
      <w:r w:rsidR="001C268C" w:rsidRPr="00926B38">
        <w:rPr>
          <w:rFonts w:asciiTheme="majorBidi" w:hAnsiTheme="majorBidi" w:cstheme="majorBidi"/>
          <w:color w:val="000000"/>
          <w:sz w:val="24"/>
          <w:szCs w:val="24"/>
          <w:lang w:val="ro-RO"/>
        </w:rPr>
        <w:t xml:space="preserve">țintelor </w:t>
      </w:r>
      <w:r w:rsidRPr="00926B38">
        <w:rPr>
          <w:rFonts w:asciiTheme="majorBidi" w:hAnsiTheme="majorBidi" w:cstheme="majorBidi"/>
          <w:color w:val="000000"/>
          <w:sz w:val="24"/>
          <w:szCs w:val="24"/>
          <w:lang w:val="ro-RO"/>
        </w:rPr>
        <w:t xml:space="preserve">de reciclare stabilite de Regulament pe durata planului, </w:t>
      </w:r>
      <w:proofErr w:type="spellStart"/>
      <w:r w:rsidRPr="00926B38">
        <w:rPr>
          <w:rFonts w:asciiTheme="majorBidi" w:hAnsiTheme="majorBidi" w:cstheme="majorBidi"/>
          <w:color w:val="000000"/>
          <w:sz w:val="24"/>
          <w:szCs w:val="24"/>
          <w:lang w:val="ro-RO"/>
        </w:rPr>
        <w:t>atașînd</w:t>
      </w:r>
      <w:proofErr w:type="spellEnd"/>
      <w:r w:rsidRPr="00926B38">
        <w:rPr>
          <w:rFonts w:asciiTheme="majorBidi" w:hAnsiTheme="majorBidi" w:cstheme="majorBidi"/>
          <w:color w:val="000000"/>
          <w:sz w:val="24"/>
          <w:szCs w:val="24"/>
          <w:lang w:val="ro-RO"/>
        </w:rPr>
        <w:t xml:space="preserve"> o listă de operatori pentru reutilizare și reciclare, inclusiv dovezi de colaborare;</w:t>
      </w:r>
    </w:p>
    <w:p w14:paraId="72875088"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privind înregistrarea corectă a fluxurilor de deșeuri;</w:t>
      </w:r>
    </w:p>
    <w:p w14:paraId="4C2969AA"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privind acoperirea costurilor de operare a punctelor de colectare municipale;</w:t>
      </w:r>
    </w:p>
    <w:p w14:paraId="6BC78D20"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măsurile privind sensibilizarea între diferitele grupuri-țintă;</w:t>
      </w:r>
    </w:p>
    <w:p w14:paraId="617DF3D1"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b) rețeaua punctelor de colectare, cu indicarea adreselor exacte unde pot fi livrate DEEE, cu respectarea prevederilor pct. 19-24 din Regulament;</w:t>
      </w:r>
    </w:p>
    <w:p w14:paraId="37FF880C"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lastRenderedPageBreak/>
        <w:t>c) raportarea anuală în SIAMD, în conformitate cu pct. 90 din Regulament, a următoarelor informații:</w:t>
      </w:r>
    </w:p>
    <w:p w14:paraId="6112F625"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cantitatea totală de EEE (în kg și bucăți), în funcție de categorie, plasată pe piață; </w:t>
      </w:r>
    </w:p>
    <w:p w14:paraId="2F79D5B7"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cantitatea totală de EEE, EEE (în kg și bucăți) în funcție de categorie, colectată pentru atingerea țintelor la fiecare punct de colectare;</w:t>
      </w:r>
    </w:p>
    <w:p w14:paraId="70089303"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cantitatea totală de EEE, EEE (în kg și bucăți) reutilizată în funcție de categorie, cu indicarea instalației unde a fost efectuată reutilizarea; </w:t>
      </w:r>
    </w:p>
    <w:p w14:paraId="13FCC983"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cantitatea totală de echipamente electrice și electronice propuse fiecărui centru de reutilizare și de valorificare;</w:t>
      </w:r>
    </w:p>
    <w:p w14:paraId="63CB5DF6"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cantitatea totală de echipamente reutilizate ca echipament complet; </w:t>
      </w:r>
    </w:p>
    <w:p w14:paraId="0BE08920"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cantitatea totală de materiale (feroase, neferoase, materiale plastice și altele) provenite din tratarea DEEE pe categorii de EEE și exprimate în kg, care au fost reciclate, recuperate, eliminate prin incinerare sau depozitate; </w:t>
      </w:r>
    </w:p>
    <w:p w14:paraId="3FF95389"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cantitatea totală de deșeuri periculoase rezultate din tratarea DEEE, pe categorii de EEE și exprimate în kg; </w:t>
      </w:r>
    </w:p>
    <w:p w14:paraId="5B06907A"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compoziția medie a EEE plasate pe piață și cărora li se aplică acest plan, </w:t>
      </w:r>
      <w:proofErr w:type="spellStart"/>
      <w:r w:rsidRPr="00926B38">
        <w:rPr>
          <w:rFonts w:asciiTheme="majorBidi" w:hAnsiTheme="majorBidi" w:cstheme="majorBidi"/>
          <w:color w:val="000000"/>
          <w:sz w:val="24"/>
          <w:szCs w:val="24"/>
          <w:lang w:val="ro-RO"/>
        </w:rPr>
        <w:t>indicînd</w:t>
      </w:r>
      <w:proofErr w:type="spellEnd"/>
      <w:r w:rsidRPr="00926B38">
        <w:rPr>
          <w:rFonts w:asciiTheme="majorBidi" w:hAnsiTheme="majorBidi" w:cstheme="majorBidi"/>
          <w:color w:val="000000"/>
          <w:sz w:val="24"/>
          <w:szCs w:val="24"/>
          <w:lang w:val="ro-RO"/>
        </w:rPr>
        <w:t>,  cel puțin, cantitatea de materiale feroase, neferoase din materiale plastice și cantitățile de deșeuri periculoase și materiale potențial periculoase în EEE plasate pe piață. Trebuie indicate toate datele disponibile privind componentele și materialele periculoase ale echipamentului;</w:t>
      </w:r>
    </w:p>
    <w:p w14:paraId="25E16CC4" w14:textId="42D1265A"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w:t>
      </w:r>
      <w:r w:rsidR="002A7597" w:rsidRPr="00926B38">
        <w:rPr>
          <w:sz w:val="24"/>
          <w:szCs w:val="24"/>
          <w:lang w:val="ro-RO"/>
        </w:rPr>
        <w:t>lista operatorilor autorizați care tratează DEEE</w:t>
      </w:r>
      <w:r w:rsidRPr="00926B38">
        <w:rPr>
          <w:rFonts w:asciiTheme="majorBidi" w:hAnsiTheme="majorBidi" w:cstheme="majorBidi"/>
          <w:color w:val="000000"/>
          <w:sz w:val="24"/>
          <w:szCs w:val="24"/>
          <w:lang w:val="ro-RO"/>
        </w:rPr>
        <w:t xml:space="preserve">, le sortează pentru reutilizare și/ sau le prelucrează pe categorii de EEE (în interiorul sau în afara țării); </w:t>
      </w:r>
    </w:p>
    <w:p w14:paraId="541669E0" w14:textId="6A5E4496"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  în funcție de instalația de tratare și de categoria DEEE, modul în care are loc tratarea DEEE, descrierea calitativă și cantitativă a procesului de tratare, de la recuperare la eliminare și </w:t>
      </w:r>
      <w:r w:rsidR="002A7597" w:rsidRPr="00926B38">
        <w:rPr>
          <w:sz w:val="24"/>
          <w:szCs w:val="24"/>
          <w:lang w:val="ro-RO"/>
        </w:rPr>
        <w:t>asigurarea respectării standardelor de mediu</w:t>
      </w:r>
      <w:r w:rsidR="00863310" w:rsidRPr="00926B38">
        <w:rPr>
          <w:rFonts w:asciiTheme="majorBidi" w:hAnsiTheme="majorBidi" w:cstheme="majorBidi"/>
          <w:color w:val="000000"/>
          <w:sz w:val="24"/>
          <w:szCs w:val="24"/>
          <w:lang w:val="ro-RO"/>
        </w:rPr>
        <w:t>;</w:t>
      </w:r>
    </w:p>
    <w:p w14:paraId="4564B0EA" w14:textId="77777777" w:rsidR="00863310" w:rsidRPr="00926B38" w:rsidRDefault="00863310" w:rsidP="00926B38">
      <w:pPr>
        <w:ind w:firstLine="709"/>
        <w:rPr>
          <w:sz w:val="24"/>
          <w:szCs w:val="24"/>
          <w:lang w:val="ro-RO"/>
        </w:rPr>
      </w:pPr>
      <w:r w:rsidRPr="00926B38">
        <w:rPr>
          <w:sz w:val="24"/>
          <w:szCs w:val="24"/>
          <w:lang w:val="ro-RO"/>
        </w:rPr>
        <w:t>d) informarea și educarea publicului:</w:t>
      </w:r>
    </w:p>
    <w:p w14:paraId="42E3DBF9" w14:textId="77777777" w:rsidR="00863310" w:rsidRPr="00926B38" w:rsidRDefault="00863310" w:rsidP="00926B38">
      <w:pPr>
        <w:ind w:firstLine="709"/>
        <w:rPr>
          <w:sz w:val="24"/>
          <w:szCs w:val="24"/>
          <w:lang w:val="ro-RO"/>
        </w:rPr>
      </w:pPr>
      <w:r w:rsidRPr="00926B38">
        <w:rPr>
          <w:sz w:val="24"/>
          <w:szCs w:val="24"/>
          <w:lang w:val="ro-RO"/>
        </w:rPr>
        <w:t>- campanii de conștientizare privind DEEE;</w:t>
      </w:r>
    </w:p>
    <w:p w14:paraId="3A7AA691" w14:textId="6C73E764" w:rsidR="00863310" w:rsidRPr="00926B38" w:rsidRDefault="00863310" w:rsidP="00926B38">
      <w:pPr>
        <w:ind w:firstLine="709"/>
        <w:rPr>
          <w:sz w:val="24"/>
          <w:szCs w:val="24"/>
          <w:lang w:val="ro-RO"/>
        </w:rPr>
      </w:pPr>
      <w:r w:rsidRPr="00926B38">
        <w:rPr>
          <w:sz w:val="24"/>
          <w:szCs w:val="24"/>
          <w:lang w:val="ro-RO"/>
        </w:rPr>
        <w:t>- programe de educare pentru consumatori și parteneri;</w:t>
      </w:r>
    </w:p>
    <w:p w14:paraId="13BFEFF1" w14:textId="77777777" w:rsidR="00863310" w:rsidRPr="00926B38" w:rsidRDefault="00863310" w:rsidP="00926B38">
      <w:pPr>
        <w:ind w:firstLine="709"/>
        <w:rPr>
          <w:rFonts w:asciiTheme="majorBidi" w:hAnsiTheme="majorBidi" w:cstheme="majorBidi"/>
          <w:color w:val="000000"/>
          <w:sz w:val="24"/>
          <w:szCs w:val="24"/>
          <w:lang w:val="ro-RO"/>
        </w:rPr>
      </w:pPr>
    </w:p>
    <w:p w14:paraId="774F1773" w14:textId="73C9F029" w:rsidR="00863310" w:rsidRPr="00926B38" w:rsidRDefault="00A3375C" w:rsidP="00926B38">
      <w:pPr>
        <w:ind w:firstLine="709"/>
        <w:rPr>
          <w:sz w:val="24"/>
          <w:szCs w:val="24"/>
          <w:lang w:val="ro-RO"/>
        </w:rPr>
      </w:pPr>
      <w:r w:rsidRPr="00926B38">
        <w:rPr>
          <w:rFonts w:asciiTheme="majorBidi" w:hAnsiTheme="majorBidi" w:cstheme="majorBidi"/>
          <w:b/>
          <w:bCs/>
          <w:sz w:val="24"/>
          <w:szCs w:val="24"/>
          <w:lang w:val="ro-RO"/>
        </w:rPr>
        <w:t>4)</w:t>
      </w:r>
      <w:r w:rsidRPr="00926B38">
        <w:rPr>
          <w:rFonts w:asciiTheme="majorBidi" w:hAnsiTheme="majorBidi" w:cstheme="majorBidi"/>
          <w:sz w:val="24"/>
          <w:szCs w:val="24"/>
          <w:lang w:val="ro-RO"/>
        </w:rPr>
        <w:t xml:space="preserve"> Planul financiar pentru perioada de 5 ani</w:t>
      </w:r>
      <w:r w:rsidR="00863310" w:rsidRPr="00926B38">
        <w:rPr>
          <w:sz w:val="24"/>
          <w:szCs w:val="24"/>
          <w:lang w:val="ro-RO"/>
        </w:rPr>
        <w:t xml:space="preserve"> care să includă următoarele:</w:t>
      </w:r>
    </w:p>
    <w:p w14:paraId="3043861F" w14:textId="77777777" w:rsidR="00863310" w:rsidRPr="00926B38" w:rsidRDefault="00863310" w:rsidP="00926B38">
      <w:pPr>
        <w:ind w:firstLine="709"/>
        <w:rPr>
          <w:sz w:val="24"/>
          <w:szCs w:val="24"/>
          <w:lang w:val="ro-RO"/>
        </w:rPr>
      </w:pPr>
      <w:r w:rsidRPr="00926B38">
        <w:rPr>
          <w:sz w:val="24"/>
          <w:szCs w:val="24"/>
          <w:lang w:val="ro-RO"/>
        </w:rPr>
        <w:t>- structura contribuțiilor financiare ale producătorilor;</w:t>
      </w:r>
    </w:p>
    <w:p w14:paraId="297D2A1B" w14:textId="77777777" w:rsidR="00863310" w:rsidRPr="00926B38" w:rsidRDefault="00863310" w:rsidP="00926B38">
      <w:pPr>
        <w:ind w:firstLine="709"/>
        <w:rPr>
          <w:sz w:val="24"/>
          <w:szCs w:val="24"/>
          <w:lang w:val="ro-RO"/>
        </w:rPr>
      </w:pPr>
      <w:r w:rsidRPr="00926B38">
        <w:rPr>
          <w:sz w:val="24"/>
          <w:szCs w:val="24"/>
          <w:lang w:val="ro-RO"/>
        </w:rPr>
        <w:t>- bugetul estimat;</w:t>
      </w:r>
    </w:p>
    <w:p w14:paraId="41C5154A" w14:textId="77777777" w:rsidR="00863310" w:rsidRPr="00926B38" w:rsidRDefault="00863310" w:rsidP="00926B38">
      <w:pPr>
        <w:ind w:firstLine="709"/>
        <w:rPr>
          <w:sz w:val="24"/>
          <w:szCs w:val="24"/>
          <w:lang w:val="ro-RO"/>
        </w:rPr>
      </w:pPr>
      <w:r w:rsidRPr="00926B38">
        <w:rPr>
          <w:sz w:val="24"/>
          <w:szCs w:val="24"/>
          <w:lang w:val="ro-RO"/>
        </w:rPr>
        <w:t>- modalitățile de gestionare a costurilor operaționale;</w:t>
      </w:r>
    </w:p>
    <w:p w14:paraId="4B18EFCD" w14:textId="14E7AA39" w:rsidR="00A3375C" w:rsidRPr="00926B38" w:rsidRDefault="00863310" w:rsidP="00926B38">
      <w:pPr>
        <w:ind w:firstLine="709"/>
        <w:rPr>
          <w:sz w:val="24"/>
          <w:szCs w:val="24"/>
          <w:lang w:val="ro-RO"/>
        </w:rPr>
      </w:pPr>
      <w:r w:rsidRPr="00926B38">
        <w:rPr>
          <w:sz w:val="24"/>
          <w:szCs w:val="24"/>
          <w:lang w:val="ro-RO"/>
        </w:rPr>
        <w:t>- măsurile pentru audit intern și extern</w:t>
      </w:r>
      <w:r w:rsidR="001369D6" w:rsidRPr="00926B38">
        <w:rPr>
          <w:sz w:val="24"/>
          <w:szCs w:val="24"/>
          <w:lang w:val="ro-RO"/>
        </w:rPr>
        <w:t>;</w:t>
      </w:r>
    </w:p>
    <w:p w14:paraId="16B46E9B" w14:textId="77777777" w:rsidR="00A3375C" w:rsidRPr="00926B38" w:rsidRDefault="00A3375C" w:rsidP="00926B38">
      <w:pPr>
        <w:tabs>
          <w:tab w:val="left" w:pos="709"/>
        </w:tabs>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5)</w:t>
      </w:r>
      <w:r w:rsidRPr="00926B38">
        <w:rPr>
          <w:rFonts w:asciiTheme="majorBidi" w:hAnsiTheme="majorBidi" w:cstheme="majorBidi"/>
          <w:color w:val="000000"/>
          <w:sz w:val="24"/>
          <w:szCs w:val="24"/>
          <w:lang w:val="ro-RO"/>
        </w:rPr>
        <w:t xml:space="preserve"> Angajamentele</w:t>
      </w:r>
    </w:p>
    <w:p w14:paraId="2303EFB3" w14:textId="39BA0BE4" w:rsidR="00A3375C" w:rsidRPr="00926B38" w:rsidRDefault="00A3375C" w:rsidP="00926B38">
      <w:pPr>
        <w:tabs>
          <w:tab w:val="left" w:pos="709"/>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Angajamentul specific (semnat și datat de producător sau, după caz, de o persoană fizică autorizată să reprezinte societatea), precum că deșeurile care fac obiectul planului opera</w:t>
      </w:r>
      <w:r w:rsidR="001C268C" w:rsidRPr="00926B38">
        <w:rPr>
          <w:rFonts w:asciiTheme="majorBidi" w:hAnsiTheme="majorBidi" w:cstheme="majorBidi"/>
          <w:color w:val="000000"/>
          <w:sz w:val="24"/>
          <w:szCs w:val="24"/>
          <w:lang w:val="ro-RO"/>
        </w:rPr>
        <w:t>țional</w:t>
      </w:r>
      <w:r w:rsidRPr="00926B38">
        <w:rPr>
          <w:rFonts w:asciiTheme="majorBidi" w:hAnsiTheme="majorBidi" w:cstheme="majorBidi"/>
          <w:color w:val="000000"/>
          <w:sz w:val="24"/>
          <w:szCs w:val="24"/>
          <w:lang w:val="ro-RO"/>
        </w:rPr>
        <w:t xml:space="preserve"> și care </w:t>
      </w:r>
      <w:proofErr w:type="spellStart"/>
      <w:r w:rsidRPr="00926B38">
        <w:rPr>
          <w:rFonts w:asciiTheme="majorBidi" w:hAnsiTheme="majorBidi" w:cstheme="majorBidi"/>
          <w:color w:val="000000"/>
          <w:sz w:val="24"/>
          <w:szCs w:val="24"/>
          <w:lang w:val="ro-RO"/>
        </w:rPr>
        <w:t>sînt</w:t>
      </w:r>
      <w:proofErr w:type="spellEnd"/>
      <w:r w:rsidRPr="00926B38">
        <w:rPr>
          <w:rFonts w:asciiTheme="majorBidi" w:hAnsiTheme="majorBidi" w:cstheme="majorBidi"/>
          <w:color w:val="000000"/>
          <w:sz w:val="24"/>
          <w:szCs w:val="24"/>
          <w:lang w:val="ro-RO"/>
        </w:rPr>
        <w:t xml:space="preserve"> colectate de acesta pentru aplicarea prezentului Regulament </w:t>
      </w:r>
      <w:proofErr w:type="spellStart"/>
      <w:r w:rsidRPr="00926B38">
        <w:rPr>
          <w:rFonts w:asciiTheme="majorBidi" w:hAnsiTheme="majorBidi" w:cstheme="majorBidi"/>
          <w:color w:val="000000"/>
          <w:sz w:val="24"/>
          <w:szCs w:val="24"/>
          <w:lang w:val="ro-RO"/>
        </w:rPr>
        <w:t>sînt</w:t>
      </w:r>
      <w:proofErr w:type="spellEnd"/>
      <w:r w:rsidRPr="00926B38">
        <w:rPr>
          <w:rFonts w:asciiTheme="majorBidi" w:hAnsiTheme="majorBidi" w:cstheme="majorBidi"/>
          <w:color w:val="000000"/>
          <w:sz w:val="24"/>
          <w:szCs w:val="24"/>
          <w:lang w:val="ro-RO"/>
        </w:rPr>
        <w:t xml:space="preserve">: </w:t>
      </w:r>
    </w:p>
    <w:p w14:paraId="690F7320" w14:textId="77777777" w:rsidR="00A3375C" w:rsidRPr="00926B38" w:rsidRDefault="00A3375C" w:rsidP="00926B38">
      <w:pPr>
        <w:tabs>
          <w:tab w:val="left" w:pos="709"/>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1) acceptate gratuit de către acesta, cu excepția cazului în care se prevede altfel în Regulament; </w:t>
      </w:r>
    </w:p>
    <w:p w14:paraId="10C08F4F" w14:textId="77777777" w:rsidR="00A3375C" w:rsidRPr="00926B38" w:rsidRDefault="00A3375C" w:rsidP="00926B38">
      <w:pPr>
        <w:tabs>
          <w:tab w:val="left" w:pos="709"/>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2) </w:t>
      </w:r>
      <w:proofErr w:type="spellStart"/>
      <w:r w:rsidRPr="00926B38">
        <w:rPr>
          <w:rFonts w:asciiTheme="majorBidi" w:hAnsiTheme="majorBidi" w:cstheme="majorBidi"/>
          <w:color w:val="000000"/>
          <w:sz w:val="24"/>
          <w:szCs w:val="24"/>
          <w:lang w:val="ro-RO"/>
        </w:rPr>
        <w:t>sînt</w:t>
      </w:r>
      <w:proofErr w:type="spellEnd"/>
      <w:r w:rsidRPr="00926B38">
        <w:rPr>
          <w:rFonts w:asciiTheme="majorBidi" w:hAnsiTheme="majorBidi" w:cstheme="majorBidi"/>
          <w:color w:val="000000"/>
          <w:sz w:val="24"/>
          <w:szCs w:val="24"/>
          <w:lang w:val="ro-RO"/>
        </w:rPr>
        <w:t xml:space="preserve"> tratate de acesta în conformitate cu cerințele prevăzute în Regulament. </w:t>
      </w:r>
    </w:p>
    <w:p w14:paraId="06BD9779" w14:textId="77777777" w:rsidR="001369D6" w:rsidRPr="00926B38" w:rsidRDefault="00A3375C" w:rsidP="00926B38">
      <w:pPr>
        <w:tabs>
          <w:tab w:val="left" w:pos="709"/>
        </w:tabs>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De asemenea, angajamentul precizează modul în care </w:t>
      </w:r>
      <w:proofErr w:type="spellStart"/>
      <w:r w:rsidRPr="00926B38">
        <w:rPr>
          <w:rFonts w:asciiTheme="majorBidi" w:hAnsiTheme="majorBidi" w:cstheme="majorBidi"/>
          <w:color w:val="000000"/>
          <w:sz w:val="24"/>
          <w:szCs w:val="24"/>
          <w:lang w:val="ro-RO"/>
        </w:rPr>
        <w:t>sînt</w:t>
      </w:r>
      <w:proofErr w:type="spellEnd"/>
      <w:r w:rsidRPr="00926B38">
        <w:rPr>
          <w:rFonts w:asciiTheme="majorBidi" w:hAnsiTheme="majorBidi" w:cstheme="majorBidi"/>
          <w:color w:val="000000"/>
          <w:sz w:val="24"/>
          <w:szCs w:val="24"/>
          <w:lang w:val="ro-RO"/>
        </w:rPr>
        <w:t xml:space="preserve"> acoperite costurile de colectare, selectare și tratare a tuturor DEEE</w:t>
      </w:r>
      <w:r w:rsidR="001369D6" w:rsidRPr="00926B38">
        <w:rPr>
          <w:rFonts w:asciiTheme="majorBidi" w:hAnsiTheme="majorBidi" w:cstheme="majorBidi"/>
          <w:color w:val="000000"/>
          <w:sz w:val="24"/>
          <w:szCs w:val="24"/>
          <w:lang w:val="ro-RO"/>
        </w:rPr>
        <w:t>;</w:t>
      </w:r>
    </w:p>
    <w:p w14:paraId="3268A1BF" w14:textId="77777777" w:rsidR="001369D6" w:rsidRPr="00926B38" w:rsidRDefault="001369D6" w:rsidP="00926B38">
      <w:pPr>
        <w:ind w:firstLine="709"/>
        <w:rPr>
          <w:sz w:val="24"/>
          <w:szCs w:val="24"/>
          <w:lang w:val="ro-RO"/>
        </w:rPr>
      </w:pPr>
      <w:r w:rsidRPr="00926B38">
        <w:rPr>
          <w:b/>
          <w:bCs/>
          <w:sz w:val="24"/>
          <w:szCs w:val="24"/>
          <w:lang w:val="ro-RO"/>
        </w:rPr>
        <w:t>6)</w:t>
      </w:r>
      <w:r w:rsidRPr="00926B38">
        <w:rPr>
          <w:sz w:val="24"/>
          <w:szCs w:val="24"/>
          <w:lang w:val="ro-RO"/>
        </w:rPr>
        <w:t xml:space="preserve"> Evaluarea și îmbunătățirea continuă:</w:t>
      </w:r>
    </w:p>
    <w:p w14:paraId="7311FD57" w14:textId="77777777" w:rsidR="001369D6" w:rsidRPr="00926B38" w:rsidRDefault="001369D6" w:rsidP="00926B38">
      <w:pPr>
        <w:ind w:firstLine="709"/>
        <w:rPr>
          <w:sz w:val="24"/>
          <w:szCs w:val="24"/>
          <w:lang w:val="ro-RO"/>
        </w:rPr>
      </w:pPr>
      <w:r w:rsidRPr="00926B38">
        <w:rPr>
          <w:sz w:val="24"/>
          <w:szCs w:val="24"/>
          <w:lang w:val="ro-RO"/>
        </w:rPr>
        <w:t>- indicatori de performanță pentru eficiența operațiunilor, cum ar fi numărul de membri, cota de piață, rata de colectare și rata de tratare;</w:t>
      </w:r>
    </w:p>
    <w:p w14:paraId="1430F476" w14:textId="77777777" w:rsidR="001369D6" w:rsidRPr="00926B38" w:rsidRDefault="001369D6" w:rsidP="00926B38">
      <w:pPr>
        <w:ind w:firstLine="709"/>
        <w:rPr>
          <w:sz w:val="24"/>
          <w:szCs w:val="24"/>
          <w:lang w:val="ro-RO"/>
        </w:rPr>
      </w:pPr>
      <w:r w:rsidRPr="00926B38">
        <w:rPr>
          <w:sz w:val="24"/>
          <w:szCs w:val="24"/>
          <w:lang w:val="ro-RO"/>
        </w:rPr>
        <w:t>- procesul de revizuire periodică a planului operațional;</w:t>
      </w:r>
    </w:p>
    <w:p w14:paraId="464686C4" w14:textId="24A6FDC8" w:rsidR="00A3375C" w:rsidRPr="00926B38" w:rsidRDefault="001369D6" w:rsidP="00926B38">
      <w:pPr>
        <w:ind w:firstLine="709"/>
        <w:rPr>
          <w:sz w:val="24"/>
          <w:szCs w:val="24"/>
          <w:lang w:val="ro-RO"/>
        </w:rPr>
      </w:pPr>
      <w:r w:rsidRPr="00926B38">
        <w:rPr>
          <w:sz w:val="24"/>
          <w:szCs w:val="24"/>
          <w:lang w:val="ro-RO"/>
        </w:rPr>
        <w:t>- strategii de adaptare la schimbările legislative și de piață.</w:t>
      </w:r>
    </w:p>
    <w:p w14:paraId="1AACE878" w14:textId="77777777" w:rsidR="00A3375C" w:rsidRPr="00926B38" w:rsidRDefault="00A3375C" w:rsidP="00926B38">
      <w:pPr>
        <w:ind w:firstLine="709"/>
        <w:rPr>
          <w:rFonts w:asciiTheme="majorBidi" w:hAnsiTheme="majorBidi" w:cstheme="majorBidi"/>
          <w:b/>
          <w:bCs/>
          <w:color w:val="000000"/>
          <w:sz w:val="24"/>
          <w:szCs w:val="24"/>
          <w:lang w:val="ro-RO"/>
        </w:rPr>
      </w:pPr>
    </w:p>
    <w:p w14:paraId="765F0035" w14:textId="7FE630AF"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2.</w:t>
      </w:r>
      <w:r w:rsidRPr="00926B38">
        <w:rPr>
          <w:rFonts w:asciiTheme="majorBidi" w:hAnsiTheme="majorBidi" w:cstheme="majorBidi"/>
          <w:color w:val="000000"/>
          <w:sz w:val="24"/>
          <w:szCs w:val="24"/>
          <w:lang w:val="ro-RO"/>
        </w:rPr>
        <w:t xml:space="preserve"> Aprobarea planului </w:t>
      </w:r>
      <w:r w:rsidR="004550B6" w:rsidRPr="00926B38">
        <w:rPr>
          <w:rFonts w:asciiTheme="majorBidi" w:hAnsiTheme="majorBidi" w:cstheme="majorBidi"/>
          <w:color w:val="000000"/>
          <w:sz w:val="24"/>
          <w:szCs w:val="24"/>
          <w:lang w:val="ro-RO"/>
        </w:rPr>
        <w:t>operațional</w:t>
      </w:r>
      <w:r w:rsidRPr="00926B38">
        <w:rPr>
          <w:rFonts w:asciiTheme="majorBidi" w:hAnsiTheme="majorBidi" w:cstheme="majorBidi"/>
          <w:color w:val="000000"/>
          <w:sz w:val="24"/>
          <w:szCs w:val="24"/>
          <w:lang w:val="ro-RO"/>
        </w:rPr>
        <w:t xml:space="preserve"> se realizează după cum urmează.</w:t>
      </w:r>
    </w:p>
    <w:p w14:paraId="3597EF6F" w14:textId="68EE35A3"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1)</w:t>
      </w:r>
      <w:r w:rsidRPr="00926B38">
        <w:rPr>
          <w:rFonts w:asciiTheme="majorBidi" w:hAnsiTheme="majorBidi" w:cstheme="majorBidi"/>
          <w:color w:val="000000"/>
          <w:sz w:val="24"/>
          <w:szCs w:val="24"/>
          <w:lang w:val="ro-RO"/>
        </w:rPr>
        <w:t xml:space="preserve"> Cererea de aprobare a planului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se depune la </w:t>
      </w:r>
      <w:r w:rsidR="002D00F4" w:rsidRPr="00926B38">
        <w:rPr>
          <w:sz w:val="24"/>
          <w:szCs w:val="24"/>
          <w:lang w:val="ro-RO"/>
        </w:rPr>
        <w:t>Agenția de Mediu</w:t>
      </w:r>
      <w:r w:rsidRPr="00926B38">
        <w:rPr>
          <w:rFonts w:asciiTheme="majorBidi" w:hAnsiTheme="majorBidi" w:cstheme="majorBidi"/>
          <w:color w:val="000000"/>
          <w:sz w:val="24"/>
          <w:szCs w:val="24"/>
          <w:lang w:val="ro-RO"/>
        </w:rPr>
        <w:t>,</w:t>
      </w:r>
      <w:r w:rsidR="002D00F4" w:rsidRPr="00926B38">
        <w:rPr>
          <w:rFonts w:asciiTheme="majorBidi" w:hAnsiTheme="majorBidi" w:cstheme="majorBidi"/>
          <w:color w:val="000000"/>
          <w:sz w:val="24"/>
          <w:szCs w:val="24"/>
          <w:lang w:val="ro-RO"/>
        </w:rPr>
        <w:t xml:space="preserve"> </w:t>
      </w:r>
      <w:r w:rsidRPr="00926B38">
        <w:rPr>
          <w:rFonts w:asciiTheme="majorBidi" w:hAnsiTheme="majorBidi" w:cstheme="majorBidi"/>
          <w:color w:val="000000"/>
          <w:sz w:val="24"/>
          <w:szCs w:val="24"/>
          <w:lang w:val="ro-RO"/>
        </w:rPr>
        <w:t xml:space="preserve">împreună cu setul de documente pentru obținerea autorizației, prin scrisoare recomandată, sau se depune la </w:t>
      </w:r>
      <w:r w:rsidR="002D00F4" w:rsidRPr="00926B38">
        <w:rPr>
          <w:sz w:val="24"/>
          <w:szCs w:val="24"/>
          <w:lang w:val="ro-RO"/>
        </w:rPr>
        <w:lastRenderedPageBreak/>
        <w:t>Agenția de Mediu</w:t>
      </w:r>
      <w:r w:rsidR="002D00F4" w:rsidRPr="00926B38">
        <w:rPr>
          <w:rFonts w:asciiTheme="majorBidi" w:hAnsiTheme="majorBidi" w:cstheme="majorBidi"/>
          <w:color w:val="000000"/>
          <w:sz w:val="24"/>
          <w:szCs w:val="24"/>
          <w:lang w:val="ro-RO"/>
        </w:rPr>
        <w:t xml:space="preserve"> </w:t>
      </w:r>
      <w:r w:rsidRPr="00926B38">
        <w:rPr>
          <w:rFonts w:asciiTheme="majorBidi" w:hAnsiTheme="majorBidi" w:cstheme="majorBidi"/>
          <w:color w:val="000000"/>
          <w:sz w:val="24"/>
          <w:szCs w:val="24"/>
          <w:lang w:val="ro-RO"/>
        </w:rPr>
        <w:t xml:space="preserve">cu dovada primirii, de preferință în numele solicitantului, semnată și datată de solicitant sau, după caz, de o persoană fizică autorizată, și include următoarele anexe: </w:t>
      </w:r>
    </w:p>
    <w:p w14:paraId="20C94AAB" w14:textId="77777777"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a) copia acordului de asociere, împreună cu oricare amendamente la acest memorandum din ultimii cinci ani, după caz; </w:t>
      </w:r>
    </w:p>
    <w:p w14:paraId="654257B0" w14:textId="287585BB"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b) proiectul planului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pentru care este solicitată autorizarea. </w:t>
      </w:r>
    </w:p>
    <w:p w14:paraId="3D2AE569" w14:textId="77777777" w:rsidR="00A3375C" w:rsidRPr="00926B38" w:rsidRDefault="00A3375C" w:rsidP="00926B38">
      <w:pPr>
        <w:ind w:firstLine="709"/>
        <w:rPr>
          <w:rFonts w:asciiTheme="majorBidi" w:hAnsiTheme="majorBidi" w:cstheme="majorBidi"/>
          <w:b/>
          <w:bCs/>
          <w:color w:val="000000"/>
          <w:sz w:val="24"/>
          <w:szCs w:val="24"/>
          <w:lang w:val="ro-RO"/>
        </w:rPr>
      </w:pPr>
    </w:p>
    <w:p w14:paraId="31AFCB41" w14:textId="089C88C8" w:rsidR="00A3375C" w:rsidRPr="00926B38" w:rsidRDefault="00A3375C" w:rsidP="00926B38">
      <w:pPr>
        <w:ind w:firstLine="709"/>
        <w:rPr>
          <w:rFonts w:asciiTheme="majorBidi" w:hAnsiTheme="majorBidi" w:cstheme="majorBidi"/>
          <w:sz w:val="24"/>
          <w:szCs w:val="24"/>
          <w:lang w:val="ro-RO"/>
        </w:rPr>
      </w:pPr>
      <w:r w:rsidRPr="00926B38">
        <w:rPr>
          <w:rFonts w:asciiTheme="majorBidi" w:hAnsiTheme="majorBidi" w:cstheme="majorBidi"/>
          <w:b/>
          <w:bCs/>
          <w:color w:val="000000"/>
          <w:sz w:val="24"/>
          <w:szCs w:val="24"/>
          <w:lang w:val="ro-RO"/>
        </w:rPr>
        <w:t xml:space="preserve">2) </w:t>
      </w:r>
      <w:r w:rsidRPr="00926B38">
        <w:rPr>
          <w:rFonts w:asciiTheme="majorBidi" w:hAnsiTheme="majorBidi" w:cstheme="majorBidi"/>
          <w:color w:val="000000"/>
          <w:sz w:val="24"/>
          <w:szCs w:val="24"/>
          <w:lang w:val="ro-RO"/>
        </w:rPr>
        <w:t xml:space="preserve">Planul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se aprobă pentru o perioadă de maximum cinci ani.</w:t>
      </w:r>
    </w:p>
    <w:p w14:paraId="40155BD9" w14:textId="77777777" w:rsidR="00A3375C" w:rsidRPr="00926B38" w:rsidRDefault="00A3375C" w:rsidP="00926B38">
      <w:pPr>
        <w:ind w:firstLine="709"/>
        <w:rPr>
          <w:rFonts w:asciiTheme="majorBidi" w:hAnsiTheme="majorBidi" w:cstheme="majorBidi"/>
          <w:b/>
          <w:bCs/>
          <w:color w:val="000000"/>
          <w:sz w:val="24"/>
          <w:szCs w:val="24"/>
          <w:lang w:val="ro-RO"/>
        </w:rPr>
      </w:pPr>
    </w:p>
    <w:p w14:paraId="0E716881" w14:textId="48F8B1EB" w:rsidR="00A3375C" w:rsidRPr="00926B38" w:rsidRDefault="00A3375C" w:rsidP="00926B38">
      <w:pPr>
        <w:ind w:firstLine="709"/>
        <w:rPr>
          <w:rFonts w:asciiTheme="majorBidi" w:hAnsiTheme="majorBidi" w:cstheme="majorBidi"/>
          <w:sz w:val="24"/>
          <w:szCs w:val="24"/>
          <w:lang w:val="ro-RO"/>
        </w:rPr>
      </w:pPr>
      <w:r w:rsidRPr="00926B38">
        <w:rPr>
          <w:rFonts w:asciiTheme="majorBidi" w:hAnsiTheme="majorBidi" w:cstheme="majorBidi"/>
          <w:b/>
          <w:bCs/>
          <w:color w:val="000000"/>
          <w:sz w:val="24"/>
          <w:szCs w:val="24"/>
          <w:lang w:val="ro-RO"/>
        </w:rPr>
        <w:t xml:space="preserve">3) </w:t>
      </w:r>
      <w:r w:rsidRPr="00926B38">
        <w:rPr>
          <w:rFonts w:asciiTheme="majorBidi" w:hAnsiTheme="majorBidi" w:cstheme="majorBidi"/>
          <w:color w:val="000000"/>
          <w:sz w:val="24"/>
          <w:szCs w:val="24"/>
          <w:lang w:val="ro-RO"/>
        </w:rPr>
        <w:t xml:space="preserve">În cazul în care planul se aprobă pentru o perioadă mai scurtă, </w:t>
      </w:r>
      <w:r w:rsidR="002D00F4" w:rsidRPr="00926B38">
        <w:rPr>
          <w:sz w:val="24"/>
          <w:szCs w:val="24"/>
          <w:lang w:val="ro-RO"/>
        </w:rPr>
        <w:t>Agenția de Mediu</w:t>
      </w:r>
      <w:r w:rsidRPr="00926B38">
        <w:rPr>
          <w:rFonts w:asciiTheme="majorBidi" w:hAnsiTheme="majorBidi" w:cstheme="majorBidi"/>
          <w:color w:val="000000"/>
          <w:sz w:val="24"/>
          <w:szCs w:val="24"/>
          <w:lang w:val="ro-RO"/>
        </w:rPr>
        <w:t xml:space="preserve"> trebuie să argumenteze decizia luată. </w:t>
      </w:r>
    </w:p>
    <w:p w14:paraId="2FC2DA15" w14:textId="77777777" w:rsidR="00A3375C" w:rsidRPr="00926B38" w:rsidRDefault="00A3375C" w:rsidP="00926B38">
      <w:pPr>
        <w:ind w:firstLine="709"/>
        <w:rPr>
          <w:rFonts w:asciiTheme="majorBidi" w:hAnsiTheme="majorBidi" w:cstheme="majorBidi"/>
          <w:b/>
          <w:bCs/>
          <w:color w:val="000000"/>
          <w:sz w:val="24"/>
          <w:szCs w:val="24"/>
          <w:lang w:val="ro-RO"/>
        </w:rPr>
      </w:pPr>
    </w:p>
    <w:p w14:paraId="61351A77" w14:textId="77777777" w:rsidR="00A3375C" w:rsidRPr="00926B38" w:rsidRDefault="00A3375C" w:rsidP="00926B38">
      <w:pPr>
        <w:ind w:firstLine="709"/>
        <w:rPr>
          <w:rFonts w:asciiTheme="majorBidi" w:hAnsiTheme="majorBidi" w:cstheme="majorBidi"/>
          <w:sz w:val="24"/>
          <w:szCs w:val="24"/>
          <w:lang w:val="ro-RO"/>
        </w:rPr>
      </w:pPr>
      <w:r w:rsidRPr="00926B38">
        <w:rPr>
          <w:rFonts w:asciiTheme="majorBidi" w:hAnsiTheme="majorBidi" w:cstheme="majorBidi"/>
          <w:b/>
          <w:bCs/>
          <w:color w:val="000000"/>
          <w:sz w:val="24"/>
          <w:szCs w:val="24"/>
          <w:lang w:val="ro-RO"/>
        </w:rPr>
        <w:t xml:space="preserve">4) </w:t>
      </w:r>
      <w:r w:rsidRPr="00926B38">
        <w:rPr>
          <w:rFonts w:asciiTheme="majorBidi" w:hAnsiTheme="majorBidi" w:cstheme="majorBidi"/>
          <w:color w:val="000000"/>
          <w:sz w:val="24"/>
          <w:szCs w:val="24"/>
          <w:lang w:val="ro-RO"/>
        </w:rPr>
        <w:t xml:space="preserve"> Cererea de aprobare poate fi depusă repetat în conformitate cu procedura prevăzută la </w:t>
      </w:r>
      <w:proofErr w:type="spellStart"/>
      <w:r w:rsidRPr="00926B38">
        <w:rPr>
          <w:rFonts w:asciiTheme="majorBidi" w:hAnsiTheme="majorBidi" w:cstheme="majorBidi"/>
          <w:color w:val="000000"/>
          <w:sz w:val="24"/>
          <w:szCs w:val="24"/>
          <w:lang w:val="ro-RO"/>
        </w:rPr>
        <w:t>subpct</w:t>
      </w:r>
      <w:proofErr w:type="spellEnd"/>
      <w:r w:rsidRPr="00926B38">
        <w:rPr>
          <w:rFonts w:asciiTheme="majorBidi" w:hAnsiTheme="majorBidi" w:cstheme="majorBidi"/>
          <w:color w:val="000000"/>
          <w:sz w:val="24"/>
          <w:szCs w:val="24"/>
          <w:lang w:val="ro-RO"/>
        </w:rPr>
        <w:t xml:space="preserve">. 1-3 pentru o perioadă maximă de cinci ani. </w:t>
      </w:r>
    </w:p>
    <w:p w14:paraId="4D4521F8" w14:textId="77777777" w:rsidR="00A3375C" w:rsidRPr="00926B38" w:rsidRDefault="00A3375C" w:rsidP="00926B38">
      <w:pPr>
        <w:ind w:firstLine="709"/>
        <w:rPr>
          <w:rFonts w:asciiTheme="majorBidi" w:hAnsiTheme="majorBidi" w:cstheme="majorBidi"/>
          <w:b/>
          <w:bCs/>
          <w:color w:val="000000"/>
          <w:sz w:val="24"/>
          <w:szCs w:val="24"/>
          <w:lang w:val="ro-RO"/>
        </w:rPr>
      </w:pPr>
    </w:p>
    <w:p w14:paraId="7034FFA8" w14:textId="2C20D384" w:rsidR="00A3375C" w:rsidRPr="00926B38" w:rsidRDefault="00A3375C" w:rsidP="00926B38">
      <w:pPr>
        <w:ind w:firstLine="709"/>
        <w:rPr>
          <w:rFonts w:asciiTheme="majorBidi" w:hAnsiTheme="majorBidi" w:cstheme="majorBidi"/>
          <w:sz w:val="24"/>
          <w:szCs w:val="24"/>
          <w:lang w:val="ro-RO"/>
        </w:rPr>
      </w:pPr>
      <w:r w:rsidRPr="00926B38">
        <w:rPr>
          <w:rFonts w:asciiTheme="majorBidi" w:hAnsiTheme="majorBidi" w:cstheme="majorBidi"/>
          <w:b/>
          <w:bCs/>
          <w:color w:val="000000"/>
          <w:sz w:val="24"/>
          <w:szCs w:val="24"/>
          <w:lang w:val="ro-RO"/>
        </w:rPr>
        <w:t>5)</w:t>
      </w:r>
      <w:r w:rsidRPr="00926B38">
        <w:rPr>
          <w:rFonts w:asciiTheme="majorBidi" w:hAnsiTheme="majorBidi" w:cstheme="majorBidi"/>
          <w:color w:val="000000"/>
          <w:sz w:val="24"/>
          <w:szCs w:val="24"/>
          <w:lang w:val="ro-RO"/>
        </w:rPr>
        <w:t xml:space="preserve">  </w:t>
      </w:r>
      <w:r w:rsidR="002D00F4" w:rsidRPr="00926B38">
        <w:rPr>
          <w:sz w:val="24"/>
          <w:szCs w:val="24"/>
          <w:lang w:val="ro-RO"/>
        </w:rPr>
        <w:t>Agenția de Mediu</w:t>
      </w:r>
      <w:r w:rsidR="002D00F4" w:rsidRPr="00926B38">
        <w:rPr>
          <w:rFonts w:asciiTheme="majorBidi" w:hAnsiTheme="majorBidi" w:cstheme="majorBidi"/>
          <w:color w:val="000000"/>
          <w:sz w:val="24"/>
          <w:szCs w:val="24"/>
          <w:lang w:val="ro-RO"/>
        </w:rPr>
        <w:t xml:space="preserve"> </w:t>
      </w:r>
      <w:r w:rsidRPr="00926B38">
        <w:rPr>
          <w:rFonts w:asciiTheme="majorBidi" w:hAnsiTheme="majorBidi" w:cstheme="majorBidi"/>
          <w:color w:val="000000"/>
          <w:sz w:val="24"/>
          <w:szCs w:val="24"/>
          <w:lang w:val="ro-RO"/>
        </w:rPr>
        <w:t xml:space="preserve">poate: </w:t>
      </w:r>
    </w:p>
    <w:p w14:paraId="3C40C4B2" w14:textId="7476DD0E"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a) să abroge aprobarea planului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la cererea solicitantului; </w:t>
      </w:r>
    </w:p>
    <w:p w14:paraId="1BC6B376" w14:textId="70AE5AE0"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color w:val="000000"/>
          <w:sz w:val="24"/>
          <w:szCs w:val="24"/>
          <w:lang w:val="ro-RO"/>
        </w:rPr>
        <w:t xml:space="preserve">b) să abroge oficial sau să suspende aprobarea planului, în cazul în care a identificat o încălcare a cerințelor Regulamentului. Cu excepția cazului în care există un pericol iminent și imediat pentru sănătate sau pentru mediu, deținătorul planului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este informat cu privire la decizia luată și motivele care stau la baza acesteia, printr-o scrisoare recomandată, cu cel puțin 14 zile înainte de notificarea deciziei respective.  În acest timp, deținătorul planului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se poate apăra sau își poate aduce în ordine starea lucrurilor.  </w:t>
      </w:r>
    </w:p>
    <w:p w14:paraId="30DF84B1" w14:textId="77777777" w:rsidR="00A3375C" w:rsidRPr="00926B38" w:rsidRDefault="00A3375C" w:rsidP="00926B38">
      <w:pPr>
        <w:ind w:firstLine="709"/>
        <w:rPr>
          <w:rFonts w:asciiTheme="majorBidi" w:hAnsiTheme="majorBidi" w:cstheme="majorBidi"/>
          <w:b/>
          <w:bCs/>
          <w:color w:val="000000"/>
          <w:sz w:val="24"/>
          <w:szCs w:val="24"/>
          <w:lang w:val="ro-RO"/>
        </w:rPr>
      </w:pPr>
    </w:p>
    <w:p w14:paraId="504642DC" w14:textId="77777777" w:rsidR="001369D6" w:rsidRPr="00926B38" w:rsidRDefault="001369D6" w:rsidP="00926B38">
      <w:pPr>
        <w:ind w:firstLine="709"/>
        <w:rPr>
          <w:sz w:val="24"/>
          <w:szCs w:val="24"/>
          <w:lang w:val="ro-RO"/>
        </w:rPr>
      </w:pPr>
      <w:r w:rsidRPr="00926B38">
        <w:rPr>
          <w:b/>
          <w:bCs/>
          <w:sz w:val="24"/>
          <w:szCs w:val="24"/>
          <w:lang w:val="ro-RO"/>
        </w:rPr>
        <w:t>6)</w:t>
      </w:r>
      <w:r w:rsidRPr="00926B38">
        <w:rPr>
          <w:sz w:val="24"/>
          <w:szCs w:val="24"/>
          <w:lang w:val="ro-RO"/>
        </w:rPr>
        <w:t xml:space="preserve"> La sfârșitul anului, sistemul individual sau colectiv transmite Agenției de Mediu planul operațional și cel financiar actualizate în cazul în care se modifică următoarele: </w:t>
      </w:r>
    </w:p>
    <w:p w14:paraId="327FCF35" w14:textId="77777777" w:rsidR="001369D6" w:rsidRPr="00926B38" w:rsidRDefault="001369D6" w:rsidP="00926B38">
      <w:pPr>
        <w:ind w:firstLine="709"/>
        <w:rPr>
          <w:sz w:val="24"/>
          <w:szCs w:val="24"/>
          <w:lang w:val="ro-RO"/>
        </w:rPr>
      </w:pPr>
      <w:r w:rsidRPr="00926B38">
        <w:rPr>
          <w:sz w:val="24"/>
          <w:szCs w:val="24"/>
          <w:lang w:val="ro-RO"/>
        </w:rPr>
        <w:t xml:space="preserve">1) datele de identificare ale companiei; </w:t>
      </w:r>
    </w:p>
    <w:p w14:paraId="6C3D038F" w14:textId="77777777" w:rsidR="001369D6" w:rsidRPr="00926B38" w:rsidRDefault="001369D6" w:rsidP="00926B38">
      <w:pPr>
        <w:ind w:firstLine="709"/>
        <w:rPr>
          <w:sz w:val="24"/>
          <w:szCs w:val="24"/>
          <w:lang w:val="ro-RO"/>
        </w:rPr>
      </w:pPr>
      <w:r w:rsidRPr="00926B38">
        <w:rPr>
          <w:sz w:val="24"/>
          <w:szCs w:val="24"/>
          <w:lang w:val="ro-RO"/>
        </w:rPr>
        <w:t xml:space="preserve">2) adresa sau datele de contact; </w:t>
      </w:r>
    </w:p>
    <w:p w14:paraId="7BBE86F2" w14:textId="77777777" w:rsidR="001369D6" w:rsidRPr="00926B38" w:rsidRDefault="001369D6" w:rsidP="00926B38">
      <w:pPr>
        <w:ind w:firstLine="709"/>
        <w:rPr>
          <w:sz w:val="24"/>
          <w:szCs w:val="24"/>
          <w:lang w:val="ro-RO"/>
        </w:rPr>
      </w:pPr>
      <w:r w:rsidRPr="00926B38">
        <w:rPr>
          <w:sz w:val="24"/>
          <w:szCs w:val="24"/>
          <w:lang w:val="ro-RO"/>
        </w:rPr>
        <w:t xml:space="preserve">3) obiectul planului operațional aprobat; </w:t>
      </w:r>
    </w:p>
    <w:p w14:paraId="574BF7CF" w14:textId="77777777" w:rsidR="001369D6" w:rsidRPr="00926B38" w:rsidRDefault="001369D6" w:rsidP="00926B38">
      <w:pPr>
        <w:ind w:firstLine="709"/>
        <w:rPr>
          <w:sz w:val="24"/>
          <w:szCs w:val="24"/>
          <w:lang w:val="ro-RO"/>
        </w:rPr>
      </w:pPr>
      <w:r w:rsidRPr="00926B38">
        <w:rPr>
          <w:sz w:val="24"/>
          <w:szCs w:val="24"/>
          <w:lang w:val="ro-RO"/>
        </w:rPr>
        <w:t>4) angajamentele din planul operațional aprobat;</w:t>
      </w:r>
    </w:p>
    <w:p w14:paraId="186EB0D2" w14:textId="27D9D70A" w:rsidR="001369D6" w:rsidRPr="00926B38" w:rsidRDefault="001369D6" w:rsidP="00926B38">
      <w:pPr>
        <w:ind w:firstLine="709"/>
        <w:rPr>
          <w:sz w:val="24"/>
          <w:szCs w:val="24"/>
          <w:lang w:val="ro-RO"/>
        </w:rPr>
      </w:pPr>
      <w:r w:rsidRPr="00926B38">
        <w:rPr>
          <w:sz w:val="24"/>
          <w:szCs w:val="24"/>
          <w:lang w:val="ro-RO"/>
        </w:rPr>
        <w:t>5) membrii sistemului colectiv.</w:t>
      </w:r>
    </w:p>
    <w:p w14:paraId="4E89CA4A" w14:textId="77777777" w:rsidR="00A3375C" w:rsidRPr="00926B38" w:rsidRDefault="00A3375C" w:rsidP="00926B38">
      <w:pPr>
        <w:ind w:firstLine="709"/>
        <w:rPr>
          <w:rFonts w:asciiTheme="majorBidi" w:hAnsiTheme="majorBidi" w:cstheme="majorBidi"/>
          <w:b/>
          <w:bCs/>
          <w:color w:val="000000"/>
          <w:sz w:val="24"/>
          <w:szCs w:val="24"/>
          <w:lang w:val="ro-RO"/>
        </w:rPr>
      </w:pPr>
    </w:p>
    <w:p w14:paraId="1722666E" w14:textId="38813B45" w:rsidR="00A3375C" w:rsidRPr="00926B38" w:rsidRDefault="00A3375C" w:rsidP="00926B38">
      <w:pPr>
        <w:ind w:firstLine="709"/>
        <w:rPr>
          <w:rFonts w:asciiTheme="majorBidi" w:hAnsiTheme="majorBidi" w:cstheme="majorBidi"/>
          <w:color w:val="000000"/>
          <w:sz w:val="24"/>
          <w:szCs w:val="24"/>
          <w:lang w:val="ro-RO"/>
        </w:rPr>
      </w:pPr>
      <w:r w:rsidRPr="00926B38">
        <w:rPr>
          <w:rFonts w:asciiTheme="majorBidi" w:hAnsiTheme="majorBidi" w:cstheme="majorBidi"/>
          <w:b/>
          <w:bCs/>
          <w:color w:val="000000"/>
          <w:sz w:val="24"/>
          <w:szCs w:val="24"/>
          <w:lang w:val="ro-RO"/>
        </w:rPr>
        <w:t>7)</w:t>
      </w:r>
      <w:r w:rsidRPr="00926B38">
        <w:rPr>
          <w:rFonts w:asciiTheme="majorBidi" w:hAnsiTheme="majorBidi" w:cstheme="majorBidi"/>
          <w:color w:val="000000"/>
          <w:sz w:val="24"/>
          <w:szCs w:val="24"/>
          <w:lang w:val="ro-RO"/>
        </w:rPr>
        <w:t xml:space="preserve"> Persoana fizică sau juridică trebuie să respecte cu strictețe angajamentele incluse în planul </w:t>
      </w:r>
      <w:r w:rsidR="004550B6" w:rsidRPr="00926B38">
        <w:rPr>
          <w:rFonts w:asciiTheme="majorBidi" w:hAnsiTheme="majorBidi" w:cstheme="majorBidi"/>
          <w:color w:val="000000"/>
          <w:sz w:val="24"/>
          <w:szCs w:val="24"/>
          <w:lang w:val="ro-RO"/>
        </w:rPr>
        <w:t xml:space="preserve">operațional </w:t>
      </w:r>
      <w:r w:rsidRPr="00926B38">
        <w:rPr>
          <w:rFonts w:asciiTheme="majorBidi" w:hAnsiTheme="majorBidi" w:cstheme="majorBidi"/>
          <w:color w:val="000000"/>
          <w:sz w:val="24"/>
          <w:szCs w:val="24"/>
          <w:lang w:val="ro-RO"/>
        </w:rPr>
        <w:t xml:space="preserve">aprobat. </w:t>
      </w:r>
    </w:p>
    <w:p w14:paraId="1DC052DE" w14:textId="77777777" w:rsidR="002739CE" w:rsidRPr="00926B38" w:rsidRDefault="002739CE" w:rsidP="00926B38">
      <w:pPr>
        <w:ind w:firstLine="709"/>
        <w:rPr>
          <w:sz w:val="24"/>
          <w:szCs w:val="24"/>
          <w:lang w:val="ro-RO"/>
        </w:rPr>
      </w:pPr>
    </w:p>
    <w:sectPr w:rsidR="002739CE" w:rsidRPr="00926B38" w:rsidSect="00926B38">
      <w:pgSz w:w="11906" w:h="16838"/>
      <w:pgMar w:top="851"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375C"/>
    <w:rsid w:val="001369D6"/>
    <w:rsid w:val="001C268C"/>
    <w:rsid w:val="002739CE"/>
    <w:rsid w:val="002A7597"/>
    <w:rsid w:val="002D00F4"/>
    <w:rsid w:val="004550B6"/>
    <w:rsid w:val="006420B2"/>
    <w:rsid w:val="008632C4"/>
    <w:rsid w:val="00863310"/>
    <w:rsid w:val="00926B38"/>
    <w:rsid w:val="00A3375C"/>
    <w:rsid w:val="00B158AC"/>
    <w:rsid w:val="00BD6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028B"/>
  <w15:docId w15:val="{5A7B54D9-0555-46B4-B1BF-3AA11434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5C"/>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qFormat/>
    <w:rsid w:val="00A3375C"/>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75C"/>
    <w:rPr>
      <w:rFonts w:ascii="Arial" w:eastAsia="Times New Roman" w:hAnsi="Arial" w:cs="Times New Roman"/>
      <w:b/>
      <w:kern w:val="28"/>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1162</Words>
  <Characters>6870</Characters>
  <Application>Microsoft Office Word</Application>
  <DocSecurity>0</DocSecurity>
  <Lines>137</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Rita Pavalachii</cp:lastModifiedBy>
  <cp:revision>5</cp:revision>
  <dcterms:created xsi:type="dcterms:W3CDTF">2018-03-23T13:29:00Z</dcterms:created>
  <dcterms:modified xsi:type="dcterms:W3CDTF">2025-11-14T12:48:00Z</dcterms:modified>
</cp:coreProperties>
</file>