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E4" w:rsidRPr="00346CE4" w:rsidRDefault="00346CE4" w:rsidP="006B5FFC">
      <w:pPr>
        <w:jc w:val="right"/>
        <w:rPr>
          <w:rFonts w:asciiTheme="majorBidi" w:hAnsiTheme="majorBidi" w:cstheme="majorBidi"/>
          <w:sz w:val="24"/>
          <w:szCs w:val="24"/>
          <w:lang w:eastAsia="ru-RU"/>
        </w:rPr>
      </w:pPr>
      <w:r w:rsidRPr="00346CE4">
        <w:rPr>
          <w:rFonts w:asciiTheme="majorBidi" w:hAnsiTheme="majorBidi" w:cstheme="majorBidi"/>
          <w:sz w:val="24"/>
          <w:szCs w:val="24"/>
          <w:lang w:eastAsia="ru-RU"/>
        </w:rPr>
        <w:t>Anexa nr. 1</w:t>
      </w:r>
    </w:p>
    <w:p w:rsidR="00346CE4" w:rsidRPr="00346CE4" w:rsidRDefault="00346CE4" w:rsidP="006B5FFC">
      <w:pPr>
        <w:jc w:val="right"/>
        <w:rPr>
          <w:rFonts w:asciiTheme="majorBidi" w:hAnsiTheme="majorBidi" w:cstheme="majorBidi"/>
          <w:sz w:val="24"/>
          <w:szCs w:val="24"/>
          <w:lang w:eastAsia="ru-RU"/>
        </w:rPr>
      </w:pPr>
      <w:r w:rsidRPr="00346CE4">
        <w:rPr>
          <w:rFonts w:asciiTheme="majorBidi" w:hAnsiTheme="majorBidi" w:cstheme="majorBidi"/>
          <w:sz w:val="24"/>
          <w:szCs w:val="24"/>
          <w:lang w:eastAsia="ru-RU"/>
        </w:rPr>
        <w:t>la Hotărârea Guvernului nr.</w:t>
      </w:r>
      <w:r w:rsidRPr="00346CE4">
        <w:rPr>
          <w:rFonts w:asciiTheme="majorBidi" w:hAnsiTheme="majorBidi" w:cstheme="majorBidi"/>
          <w:sz w:val="24"/>
          <w:szCs w:val="24"/>
          <w:lang w:eastAsia="ru-RU"/>
        </w:rPr>
        <w:t>987/2020</w:t>
      </w:r>
    </w:p>
    <w:p w:rsidR="00346CE4" w:rsidRPr="00346CE4" w:rsidRDefault="00346CE4" w:rsidP="00346CE4">
      <w:pPr>
        <w:jc w:val="center"/>
        <w:rPr>
          <w:rFonts w:asciiTheme="majorBidi" w:hAnsiTheme="majorBidi" w:cstheme="majorBidi"/>
          <w:sz w:val="24"/>
          <w:szCs w:val="24"/>
          <w:lang w:eastAsia="ru-RU"/>
        </w:rPr>
      </w:pPr>
    </w:p>
    <w:p w:rsidR="00346CE4" w:rsidRPr="00346CE4" w:rsidRDefault="00346CE4" w:rsidP="00346CE4">
      <w:pPr>
        <w:ind w:firstLine="0"/>
        <w:jc w:val="center"/>
        <w:rPr>
          <w:b/>
          <w:bCs/>
          <w:sz w:val="24"/>
          <w:szCs w:val="24"/>
        </w:rPr>
      </w:pPr>
      <w:r w:rsidRPr="00346CE4">
        <w:rPr>
          <w:b/>
          <w:bCs/>
          <w:sz w:val="24"/>
          <w:szCs w:val="24"/>
        </w:rPr>
        <w:t>PROGRAMUL</w:t>
      </w:r>
    </w:p>
    <w:p w:rsidR="00346CE4" w:rsidRPr="00346CE4" w:rsidRDefault="00346CE4" w:rsidP="00346CE4">
      <w:pPr>
        <w:ind w:firstLine="0"/>
        <w:jc w:val="center"/>
        <w:rPr>
          <w:b/>
          <w:bCs/>
          <w:sz w:val="24"/>
          <w:szCs w:val="24"/>
        </w:rPr>
      </w:pPr>
      <w:r w:rsidRPr="00346CE4">
        <w:rPr>
          <w:b/>
          <w:bCs/>
          <w:sz w:val="24"/>
          <w:szCs w:val="24"/>
        </w:rPr>
        <w:t xml:space="preserve">de management al spectrului de </w:t>
      </w:r>
      <w:proofErr w:type="spellStart"/>
      <w:r w:rsidRPr="00346CE4">
        <w:rPr>
          <w:b/>
          <w:bCs/>
          <w:sz w:val="24"/>
          <w:szCs w:val="24"/>
        </w:rPr>
        <w:t>frecvenţe</w:t>
      </w:r>
      <w:proofErr w:type="spellEnd"/>
      <w:r w:rsidRPr="00346CE4">
        <w:rPr>
          <w:b/>
          <w:bCs/>
          <w:sz w:val="24"/>
          <w:szCs w:val="24"/>
        </w:rPr>
        <w:t xml:space="preserve"> radio pentru anii 2021-2025</w:t>
      </w:r>
    </w:p>
    <w:p w:rsidR="00346CE4" w:rsidRPr="00346CE4" w:rsidRDefault="00346CE4" w:rsidP="00346CE4">
      <w:pPr>
        <w:tabs>
          <w:tab w:val="left" w:pos="1134"/>
        </w:tabs>
        <w:jc w:val="center"/>
        <w:outlineLvl w:val="0"/>
        <w:rPr>
          <w:b/>
          <w:sz w:val="24"/>
          <w:szCs w:val="24"/>
        </w:rPr>
      </w:pPr>
    </w:p>
    <w:p w:rsidR="00346CE4" w:rsidRPr="00346CE4" w:rsidRDefault="00346CE4" w:rsidP="00346CE4">
      <w:pPr>
        <w:numPr>
          <w:ilvl w:val="0"/>
          <w:numId w:val="5"/>
        </w:numPr>
        <w:tabs>
          <w:tab w:val="left" w:pos="0"/>
          <w:tab w:val="left" w:pos="284"/>
        </w:tabs>
        <w:ind w:left="0" w:firstLine="0"/>
        <w:jc w:val="center"/>
        <w:outlineLvl w:val="0"/>
        <w:rPr>
          <w:b/>
          <w:sz w:val="24"/>
          <w:szCs w:val="24"/>
        </w:rPr>
      </w:pPr>
      <w:r w:rsidRPr="00346CE4">
        <w:rPr>
          <w:b/>
          <w:sz w:val="24"/>
          <w:szCs w:val="24"/>
        </w:rPr>
        <w:t>INTRODUCERE</w:t>
      </w:r>
    </w:p>
    <w:p w:rsidR="00346CE4" w:rsidRPr="00346CE4" w:rsidRDefault="00346CE4" w:rsidP="00346CE4">
      <w:pPr>
        <w:tabs>
          <w:tab w:val="left" w:pos="0"/>
        </w:tabs>
        <w:outlineLvl w:val="0"/>
        <w:rPr>
          <w:b/>
          <w:sz w:val="24"/>
          <w:szCs w:val="24"/>
        </w:rPr>
      </w:pPr>
    </w:p>
    <w:p w:rsidR="00346CE4" w:rsidRPr="00346CE4" w:rsidRDefault="00346CE4" w:rsidP="00346CE4">
      <w:pPr>
        <w:tabs>
          <w:tab w:val="left" w:pos="0"/>
        </w:tabs>
        <w:ind w:firstLine="708"/>
        <w:outlineLvl w:val="0"/>
        <w:rPr>
          <w:sz w:val="24"/>
          <w:szCs w:val="24"/>
        </w:rPr>
      </w:pPr>
      <w:r w:rsidRPr="00346CE4">
        <w:rPr>
          <w:b/>
          <w:sz w:val="24"/>
          <w:szCs w:val="24"/>
        </w:rPr>
        <w:t>1.</w:t>
      </w:r>
      <w:r w:rsidRPr="00346CE4">
        <w:rPr>
          <w:sz w:val="24"/>
          <w:szCs w:val="24"/>
        </w:rPr>
        <w:t xml:space="preserve"> Programul de management al spectrului de </w:t>
      </w:r>
      <w:proofErr w:type="spellStart"/>
      <w:r w:rsidRPr="00346CE4">
        <w:rPr>
          <w:sz w:val="24"/>
          <w:szCs w:val="24"/>
        </w:rPr>
        <w:t>frecvenţe</w:t>
      </w:r>
      <w:proofErr w:type="spellEnd"/>
      <w:r w:rsidRPr="00346CE4">
        <w:rPr>
          <w:sz w:val="24"/>
          <w:szCs w:val="24"/>
        </w:rPr>
        <w:t xml:space="preserve"> radio </w:t>
      </w:r>
      <w:r w:rsidRPr="00346CE4">
        <w:rPr>
          <w:bCs/>
          <w:sz w:val="24"/>
          <w:szCs w:val="24"/>
        </w:rPr>
        <w:t>pentru anii 2021-2025 (</w:t>
      </w:r>
      <w:r w:rsidRPr="00346CE4">
        <w:rPr>
          <w:sz w:val="24"/>
          <w:szCs w:val="24"/>
        </w:rPr>
        <w:t xml:space="preserve">în continuare – </w:t>
      </w:r>
      <w:r w:rsidRPr="00346CE4">
        <w:rPr>
          <w:i/>
          <w:sz w:val="24"/>
          <w:szCs w:val="24"/>
        </w:rPr>
        <w:t>Program</w:t>
      </w:r>
      <w:r w:rsidRPr="00346CE4">
        <w:rPr>
          <w:sz w:val="24"/>
          <w:szCs w:val="24"/>
        </w:rPr>
        <w:t xml:space="preserve">) este elaborat în conformitate cu prevederile Hotărârii Guvernului nr. 636/2019 cu privire la aprobarea Planului de acțiuni al Guvernului pentru anii 2020-2023, Legii </w:t>
      </w:r>
      <w:proofErr w:type="spellStart"/>
      <w:r w:rsidRPr="00346CE4">
        <w:rPr>
          <w:sz w:val="24"/>
          <w:szCs w:val="24"/>
        </w:rPr>
        <w:t>comunicaţiilor</w:t>
      </w:r>
      <w:proofErr w:type="spellEnd"/>
      <w:r w:rsidRPr="00346CE4">
        <w:rPr>
          <w:sz w:val="24"/>
          <w:szCs w:val="24"/>
        </w:rPr>
        <w:t xml:space="preserve"> electronice nr. 241/2007, Tabelului </w:t>
      </w:r>
      <w:proofErr w:type="spellStart"/>
      <w:r w:rsidRPr="00346CE4">
        <w:rPr>
          <w:sz w:val="24"/>
          <w:szCs w:val="24"/>
        </w:rPr>
        <w:t>naţional</w:t>
      </w:r>
      <w:proofErr w:type="spellEnd"/>
      <w:r w:rsidRPr="00346CE4">
        <w:rPr>
          <w:sz w:val="24"/>
          <w:szCs w:val="24"/>
        </w:rPr>
        <w:t xml:space="preserve"> de atribuire a benzilor de </w:t>
      </w:r>
      <w:proofErr w:type="spellStart"/>
      <w:r w:rsidRPr="00346CE4">
        <w:rPr>
          <w:sz w:val="24"/>
          <w:szCs w:val="24"/>
        </w:rPr>
        <w:t>frecvenţe</w:t>
      </w:r>
      <w:proofErr w:type="spellEnd"/>
      <w:r w:rsidRPr="00346CE4">
        <w:rPr>
          <w:sz w:val="24"/>
          <w:szCs w:val="24"/>
        </w:rPr>
        <w:t xml:space="preserve"> (în continuare – </w:t>
      </w:r>
      <w:r w:rsidRPr="00346CE4">
        <w:rPr>
          <w:i/>
          <w:sz w:val="24"/>
          <w:szCs w:val="24"/>
        </w:rPr>
        <w:t>TNABF</w:t>
      </w:r>
      <w:r w:rsidRPr="00346CE4">
        <w:rPr>
          <w:sz w:val="24"/>
          <w:szCs w:val="24"/>
        </w:rPr>
        <w:t xml:space="preserve">), aprobat prin Hotărârea Comisiei de stat pentru frecvențe radio a Republicii Moldova nr. 11/2000 </w:t>
      </w:r>
      <w:proofErr w:type="spellStart"/>
      <w:r w:rsidRPr="00346CE4">
        <w:rPr>
          <w:sz w:val="24"/>
          <w:szCs w:val="24"/>
        </w:rPr>
        <w:t>şi</w:t>
      </w:r>
      <w:proofErr w:type="spellEnd"/>
      <w:r w:rsidRPr="00346CE4">
        <w:rPr>
          <w:sz w:val="24"/>
          <w:szCs w:val="24"/>
        </w:rPr>
        <w:t xml:space="preserve"> ale Regulamentului radiocomunicațiilor al Uniunii Internaționale a Telecomunicațiilor (RR UIT), parte integrantă a Statutului UIT ratificat prin Hotărârea Parlamentului nr. 993/1996.</w:t>
      </w:r>
    </w:p>
    <w:p w:rsidR="00346CE4" w:rsidRPr="00346CE4" w:rsidRDefault="00346CE4" w:rsidP="00346CE4">
      <w:pPr>
        <w:tabs>
          <w:tab w:val="left" w:pos="0"/>
        </w:tabs>
        <w:ind w:firstLine="708"/>
        <w:outlineLvl w:val="0"/>
        <w:rPr>
          <w:sz w:val="24"/>
          <w:szCs w:val="24"/>
        </w:rPr>
      </w:pPr>
    </w:p>
    <w:p w:rsidR="00346CE4" w:rsidRPr="00346CE4" w:rsidRDefault="00346CE4" w:rsidP="00346CE4">
      <w:pPr>
        <w:tabs>
          <w:tab w:val="left" w:pos="0"/>
        </w:tabs>
        <w:outlineLvl w:val="0"/>
        <w:rPr>
          <w:sz w:val="24"/>
          <w:szCs w:val="24"/>
        </w:rPr>
      </w:pPr>
      <w:r w:rsidRPr="00346CE4">
        <w:rPr>
          <w:b/>
          <w:sz w:val="24"/>
          <w:szCs w:val="24"/>
        </w:rPr>
        <w:t>2.</w:t>
      </w:r>
      <w:r w:rsidRPr="00346CE4">
        <w:rPr>
          <w:sz w:val="24"/>
          <w:szCs w:val="24"/>
        </w:rPr>
        <w:t xml:space="preserve"> Prezentul Program reflectă </w:t>
      </w:r>
      <w:proofErr w:type="spellStart"/>
      <w:r w:rsidRPr="00346CE4">
        <w:rPr>
          <w:sz w:val="24"/>
          <w:szCs w:val="24"/>
        </w:rPr>
        <w:t>importanţa</w:t>
      </w:r>
      <w:proofErr w:type="spellEnd"/>
      <w:r w:rsidRPr="00346CE4">
        <w:rPr>
          <w:sz w:val="24"/>
          <w:szCs w:val="24"/>
        </w:rPr>
        <w:t xml:space="preserve"> </w:t>
      </w:r>
      <w:proofErr w:type="spellStart"/>
      <w:r w:rsidRPr="00346CE4">
        <w:rPr>
          <w:sz w:val="24"/>
          <w:szCs w:val="24"/>
        </w:rPr>
        <w:t>disponibilităţii</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utilizării eficiente a spectrului de </w:t>
      </w:r>
      <w:proofErr w:type="spellStart"/>
      <w:r w:rsidRPr="00346CE4">
        <w:rPr>
          <w:sz w:val="24"/>
          <w:szCs w:val="24"/>
        </w:rPr>
        <w:t>frecvenţe</w:t>
      </w:r>
      <w:proofErr w:type="spellEnd"/>
      <w:r w:rsidRPr="00346CE4">
        <w:rPr>
          <w:sz w:val="24"/>
          <w:szCs w:val="24"/>
        </w:rPr>
        <w:t xml:space="preserve"> radio ca resursă limitată – proprietate publică a statului, pentru </w:t>
      </w:r>
      <w:proofErr w:type="spellStart"/>
      <w:r w:rsidRPr="00346CE4">
        <w:rPr>
          <w:sz w:val="24"/>
          <w:szCs w:val="24"/>
        </w:rPr>
        <w:t>piaţa</w:t>
      </w:r>
      <w:proofErr w:type="spellEnd"/>
      <w:r w:rsidRPr="00346CE4">
        <w:rPr>
          <w:sz w:val="24"/>
          <w:szCs w:val="24"/>
        </w:rPr>
        <w:t xml:space="preserve"> internă a </w:t>
      </w:r>
      <w:proofErr w:type="spellStart"/>
      <w:r w:rsidRPr="00346CE4">
        <w:rPr>
          <w:sz w:val="24"/>
          <w:szCs w:val="24"/>
        </w:rPr>
        <w:t>reţelelor</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a serviciilor publice de </w:t>
      </w:r>
      <w:proofErr w:type="spellStart"/>
      <w:r w:rsidRPr="00346CE4">
        <w:rPr>
          <w:sz w:val="24"/>
          <w:szCs w:val="24"/>
        </w:rPr>
        <w:t>comunicaţii</w:t>
      </w:r>
      <w:proofErr w:type="spellEnd"/>
      <w:r w:rsidRPr="00346CE4">
        <w:rPr>
          <w:sz w:val="24"/>
          <w:szCs w:val="24"/>
        </w:rPr>
        <w:t xml:space="preserve"> electronice, precum </w:t>
      </w:r>
      <w:proofErr w:type="spellStart"/>
      <w:r w:rsidRPr="00346CE4">
        <w:rPr>
          <w:sz w:val="24"/>
          <w:szCs w:val="24"/>
        </w:rPr>
        <w:t>şi</w:t>
      </w:r>
      <w:proofErr w:type="spellEnd"/>
      <w:r w:rsidRPr="00346CE4">
        <w:rPr>
          <w:sz w:val="24"/>
          <w:szCs w:val="24"/>
        </w:rPr>
        <w:t xml:space="preserve"> pentru alte sectoare ale economiei </w:t>
      </w:r>
      <w:proofErr w:type="spellStart"/>
      <w:r w:rsidRPr="00346CE4">
        <w:rPr>
          <w:sz w:val="24"/>
          <w:szCs w:val="24"/>
        </w:rPr>
        <w:t>naţionale</w:t>
      </w:r>
      <w:proofErr w:type="spellEnd"/>
      <w:r w:rsidRPr="00346CE4">
        <w:rPr>
          <w:sz w:val="24"/>
          <w:szCs w:val="24"/>
        </w:rPr>
        <w:t xml:space="preserve"> a Republicii Moldova.</w:t>
      </w:r>
    </w:p>
    <w:p w:rsidR="00346CE4" w:rsidRPr="00346CE4" w:rsidRDefault="00346CE4" w:rsidP="00346CE4">
      <w:pPr>
        <w:tabs>
          <w:tab w:val="left" w:pos="0"/>
        </w:tabs>
        <w:outlineLvl w:val="0"/>
        <w:rPr>
          <w:sz w:val="24"/>
          <w:szCs w:val="24"/>
        </w:rPr>
      </w:pPr>
    </w:p>
    <w:p w:rsidR="00346CE4" w:rsidRPr="00346CE4" w:rsidRDefault="00346CE4" w:rsidP="00346CE4">
      <w:pPr>
        <w:tabs>
          <w:tab w:val="left" w:pos="0"/>
        </w:tabs>
        <w:outlineLvl w:val="0"/>
        <w:rPr>
          <w:sz w:val="24"/>
          <w:szCs w:val="24"/>
        </w:rPr>
      </w:pPr>
      <w:r w:rsidRPr="00346CE4">
        <w:rPr>
          <w:b/>
          <w:sz w:val="24"/>
          <w:szCs w:val="24"/>
        </w:rPr>
        <w:t>3.</w:t>
      </w:r>
      <w:r w:rsidRPr="00346CE4">
        <w:rPr>
          <w:sz w:val="24"/>
          <w:szCs w:val="24"/>
        </w:rPr>
        <w:t xml:space="preserve"> Elaborarea </w:t>
      </w:r>
      <w:proofErr w:type="spellStart"/>
      <w:r w:rsidRPr="00346CE4">
        <w:rPr>
          <w:sz w:val="24"/>
          <w:szCs w:val="24"/>
        </w:rPr>
        <w:t>şi</w:t>
      </w:r>
      <w:proofErr w:type="spellEnd"/>
      <w:r w:rsidRPr="00346CE4">
        <w:rPr>
          <w:sz w:val="24"/>
          <w:szCs w:val="24"/>
        </w:rPr>
        <w:t xml:space="preserve"> adoptarea prezentului Program are drept scop promovarea unei gestionări eficiente a resurselor de spectru radio care să asigure, în special, disponibilitatea unui spectru de </w:t>
      </w:r>
      <w:proofErr w:type="spellStart"/>
      <w:r w:rsidRPr="00346CE4">
        <w:rPr>
          <w:sz w:val="24"/>
          <w:szCs w:val="24"/>
        </w:rPr>
        <w:t>frecvenţe</w:t>
      </w:r>
      <w:proofErr w:type="spellEnd"/>
      <w:r w:rsidRPr="00346CE4">
        <w:rPr>
          <w:sz w:val="24"/>
          <w:szCs w:val="24"/>
        </w:rPr>
        <w:t xml:space="preserve"> suficient pentru dezvoltarea continuă a </w:t>
      </w:r>
      <w:proofErr w:type="spellStart"/>
      <w:r w:rsidRPr="00346CE4">
        <w:rPr>
          <w:sz w:val="24"/>
          <w:szCs w:val="24"/>
        </w:rPr>
        <w:t>reţelelor</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a serviciilor publice de </w:t>
      </w:r>
      <w:proofErr w:type="spellStart"/>
      <w:r w:rsidRPr="00346CE4">
        <w:rPr>
          <w:sz w:val="24"/>
          <w:szCs w:val="24"/>
        </w:rPr>
        <w:t>comunicaţii</w:t>
      </w:r>
      <w:proofErr w:type="spellEnd"/>
      <w:r w:rsidRPr="00346CE4">
        <w:rPr>
          <w:sz w:val="24"/>
          <w:szCs w:val="24"/>
        </w:rPr>
        <w:t xml:space="preserve"> electronice mobile terestre în bandă largă, implementarea tehnologiilor </w:t>
      </w:r>
      <w:proofErr w:type="spellStart"/>
      <w:r w:rsidRPr="00346CE4">
        <w:rPr>
          <w:sz w:val="24"/>
          <w:szCs w:val="24"/>
        </w:rPr>
        <w:t>şi</w:t>
      </w:r>
      <w:proofErr w:type="spellEnd"/>
      <w:r w:rsidRPr="00346CE4">
        <w:rPr>
          <w:sz w:val="24"/>
          <w:szCs w:val="24"/>
        </w:rPr>
        <w:t xml:space="preserve"> serviciilor de </w:t>
      </w:r>
      <w:proofErr w:type="spellStart"/>
      <w:r w:rsidRPr="00346CE4">
        <w:rPr>
          <w:sz w:val="24"/>
          <w:szCs w:val="24"/>
        </w:rPr>
        <w:t>generaţie</w:t>
      </w:r>
      <w:proofErr w:type="spellEnd"/>
      <w:r w:rsidRPr="00346CE4">
        <w:rPr>
          <w:sz w:val="24"/>
          <w:szCs w:val="24"/>
        </w:rPr>
        <w:t xml:space="preserve"> nouă și asigurarea predictibilității pe termen mediu și lung referitor la resursele de spectru de frecvențe radio.</w:t>
      </w:r>
    </w:p>
    <w:p w:rsidR="00346CE4" w:rsidRPr="00346CE4" w:rsidRDefault="00346CE4" w:rsidP="00346CE4">
      <w:pPr>
        <w:tabs>
          <w:tab w:val="left" w:pos="1134"/>
        </w:tabs>
        <w:jc w:val="center"/>
        <w:rPr>
          <w:b/>
          <w:sz w:val="24"/>
          <w:szCs w:val="24"/>
        </w:rPr>
      </w:pPr>
    </w:p>
    <w:p w:rsidR="00346CE4" w:rsidRPr="00346CE4" w:rsidRDefault="00346CE4" w:rsidP="00346CE4">
      <w:pPr>
        <w:tabs>
          <w:tab w:val="left" w:pos="0"/>
        </w:tabs>
        <w:ind w:firstLine="0"/>
        <w:jc w:val="center"/>
        <w:rPr>
          <w:b/>
          <w:sz w:val="24"/>
          <w:szCs w:val="24"/>
        </w:rPr>
      </w:pPr>
      <w:r w:rsidRPr="00346CE4">
        <w:rPr>
          <w:b/>
          <w:sz w:val="24"/>
          <w:szCs w:val="24"/>
        </w:rPr>
        <w:t>II. ANALIZA SITUAŢIEI ACTUALE</w:t>
      </w:r>
    </w:p>
    <w:p w:rsidR="00346CE4" w:rsidRPr="00346CE4" w:rsidRDefault="00346CE4" w:rsidP="00346CE4">
      <w:pPr>
        <w:tabs>
          <w:tab w:val="left" w:pos="1134"/>
        </w:tabs>
        <w:jc w:val="center"/>
        <w:rPr>
          <w:b/>
          <w:sz w:val="24"/>
          <w:szCs w:val="24"/>
        </w:rPr>
      </w:pPr>
    </w:p>
    <w:p w:rsidR="00346CE4" w:rsidRPr="00346CE4" w:rsidRDefault="00346CE4" w:rsidP="00346CE4">
      <w:pPr>
        <w:tabs>
          <w:tab w:val="left" w:pos="0"/>
        </w:tabs>
        <w:rPr>
          <w:b/>
          <w:sz w:val="24"/>
          <w:szCs w:val="24"/>
        </w:rPr>
      </w:pPr>
      <w:r w:rsidRPr="00346CE4">
        <w:rPr>
          <w:b/>
          <w:sz w:val="24"/>
          <w:szCs w:val="24"/>
        </w:rPr>
        <w:t xml:space="preserve">4. </w:t>
      </w:r>
      <w:proofErr w:type="spellStart"/>
      <w:r w:rsidRPr="00346CE4">
        <w:rPr>
          <w:b/>
          <w:sz w:val="24"/>
          <w:szCs w:val="24"/>
        </w:rPr>
        <w:t>Evoluţia</w:t>
      </w:r>
      <w:proofErr w:type="spellEnd"/>
      <w:r w:rsidRPr="00346CE4">
        <w:rPr>
          <w:b/>
          <w:sz w:val="24"/>
          <w:szCs w:val="24"/>
        </w:rPr>
        <w:t xml:space="preserve"> reglementării </w:t>
      </w:r>
      <w:proofErr w:type="spellStart"/>
      <w:r w:rsidRPr="00346CE4">
        <w:rPr>
          <w:b/>
          <w:sz w:val="24"/>
          <w:szCs w:val="24"/>
        </w:rPr>
        <w:t>şi</w:t>
      </w:r>
      <w:proofErr w:type="spellEnd"/>
      <w:r w:rsidRPr="00346CE4">
        <w:rPr>
          <w:b/>
          <w:sz w:val="24"/>
          <w:szCs w:val="24"/>
        </w:rPr>
        <w:t xml:space="preserve"> utilizării spectrului de </w:t>
      </w:r>
      <w:proofErr w:type="spellStart"/>
      <w:r w:rsidRPr="00346CE4">
        <w:rPr>
          <w:b/>
          <w:sz w:val="24"/>
          <w:szCs w:val="24"/>
        </w:rPr>
        <w:t>frecvenţe</w:t>
      </w:r>
      <w:proofErr w:type="spellEnd"/>
      <w:r w:rsidRPr="00346CE4">
        <w:rPr>
          <w:b/>
          <w:sz w:val="24"/>
          <w:szCs w:val="24"/>
        </w:rPr>
        <w:t xml:space="preserve"> radio</w:t>
      </w:r>
    </w:p>
    <w:p w:rsidR="00346CE4" w:rsidRPr="00346CE4" w:rsidRDefault="00346CE4" w:rsidP="00346CE4">
      <w:pPr>
        <w:tabs>
          <w:tab w:val="left" w:pos="0"/>
        </w:tabs>
        <w:rPr>
          <w:sz w:val="24"/>
          <w:szCs w:val="24"/>
        </w:rPr>
      </w:pPr>
      <w:r w:rsidRPr="00346CE4">
        <w:rPr>
          <w:sz w:val="24"/>
          <w:szCs w:val="24"/>
        </w:rPr>
        <w:t xml:space="preserve">Prezentul Program vizează porțiuni din resursele de spectru radio cuprinse între 450 MHz </w:t>
      </w:r>
      <w:proofErr w:type="spellStart"/>
      <w:r w:rsidRPr="00346CE4">
        <w:rPr>
          <w:sz w:val="24"/>
          <w:szCs w:val="24"/>
        </w:rPr>
        <w:t>şi</w:t>
      </w:r>
      <w:proofErr w:type="spellEnd"/>
      <w:r w:rsidRPr="00346CE4">
        <w:rPr>
          <w:sz w:val="24"/>
          <w:szCs w:val="24"/>
        </w:rPr>
        <w:t xml:space="preserve"> 27,5 GHz, destinate implementării rețelelor de radiocomunicații cu destinație civilă, pentru care au fost identificate resurse de spectru disponibile pentru furnizarea rețelelor de comunicații de bandă largă.</w:t>
      </w:r>
    </w:p>
    <w:p w:rsidR="00346CE4" w:rsidRPr="00346CE4" w:rsidRDefault="00346CE4" w:rsidP="00346CE4">
      <w:pPr>
        <w:tabs>
          <w:tab w:val="left" w:pos="0"/>
        </w:tabs>
        <w:rPr>
          <w:sz w:val="24"/>
          <w:szCs w:val="24"/>
        </w:rPr>
      </w:pPr>
      <w:r w:rsidRPr="00346CE4">
        <w:rPr>
          <w:sz w:val="24"/>
          <w:szCs w:val="24"/>
        </w:rPr>
        <w:t xml:space="preserve">În cadrul acestui capitol este prezentată </w:t>
      </w:r>
      <w:proofErr w:type="spellStart"/>
      <w:r w:rsidRPr="00346CE4">
        <w:rPr>
          <w:sz w:val="24"/>
          <w:szCs w:val="24"/>
        </w:rPr>
        <w:t>evoluţia</w:t>
      </w:r>
      <w:proofErr w:type="spellEnd"/>
      <w:r w:rsidRPr="00346CE4">
        <w:rPr>
          <w:sz w:val="24"/>
          <w:szCs w:val="24"/>
        </w:rPr>
        <w:t xml:space="preserve"> reglementării </w:t>
      </w:r>
      <w:proofErr w:type="spellStart"/>
      <w:r w:rsidRPr="00346CE4">
        <w:rPr>
          <w:sz w:val="24"/>
          <w:szCs w:val="24"/>
        </w:rPr>
        <w:t>şi</w:t>
      </w:r>
      <w:proofErr w:type="spellEnd"/>
      <w:r w:rsidRPr="00346CE4">
        <w:rPr>
          <w:sz w:val="24"/>
          <w:szCs w:val="24"/>
        </w:rPr>
        <w:t xml:space="preserve"> utilizării în Republica Moldova a spectrului de </w:t>
      </w:r>
      <w:proofErr w:type="spellStart"/>
      <w:r w:rsidRPr="00346CE4">
        <w:rPr>
          <w:sz w:val="24"/>
          <w:szCs w:val="24"/>
        </w:rPr>
        <w:t>frecvenţe</w:t>
      </w:r>
      <w:proofErr w:type="spellEnd"/>
      <w:r w:rsidRPr="00346CE4">
        <w:rPr>
          <w:sz w:val="24"/>
          <w:szCs w:val="24"/>
        </w:rPr>
        <w:t xml:space="preserve"> radio în următoarele benzi de </w:t>
      </w:r>
      <w:proofErr w:type="spellStart"/>
      <w:r w:rsidRPr="00346CE4">
        <w:rPr>
          <w:sz w:val="24"/>
          <w:szCs w:val="24"/>
        </w:rPr>
        <w:t>frecvenţe</w:t>
      </w:r>
      <w:proofErr w:type="spellEnd"/>
      <w:r w:rsidRPr="00346CE4">
        <w:rPr>
          <w:sz w:val="24"/>
          <w:szCs w:val="24"/>
        </w:rPr>
        <w:t>:</w:t>
      </w:r>
    </w:p>
    <w:p w:rsidR="00346CE4" w:rsidRPr="00346CE4" w:rsidRDefault="00346CE4" w:rsidP="00346CE4">
      <w:pPr>
        <w:tabs>
          <w:tab w:val="left" w:pos="0"/>
          <w:tab w:val="left" w:pos="709"/>
        </w:tabs>
        <w:ind w:firstLine="720"/>
        <w:rPr>
          <w:b/>
          <w:sz w:val="24"/>
          <w:szCs w:val="24"/>
        </w:rPr>
      </w:pPr>
      <w:r w:rsidRPr="00346CE4">
        <w:rPr>
          <w:b/>
          <w:sz w:val="24"/>
          <w:szCs w:val="24"/>
        </w:rPr>
        <w:t>Serviciul mobil de bandă largă:</w:t>
      </w:r>
    </w:p>
    <w:p w:rsidR="00346CE4" w:rsidRPr="00346CE4" w:rsidRDefault="00346CE4" w:rsidP="00346CE4">
      <w:pPr>
        <w:tabs>
          <w:tab w:val="left" w:pos="0"/>
        </w:tabs>
        <w:rPr>
          <w:b/>
          <w:bCs/>
          <w:sz w:val="24"/>
          <w:szCs w:val="24"/>
        </w:rPr>
      </w:pPr>
      <w:r w:rsidRPr="00346CE4">
        <w:rPr>
          <w:b/>
          <w:sz w:val="24"/>
          <w:szCs w:val="24"/>
        </w:rPr>
        <w:t xml:space="preserve">1) Banda de </w:t>
      </w:r>
      <w:proofErr w:type="spellStart"/>
      <w:r w:rsidRPr="00346CE4">
        <w:rPr>
          <w:b/>
          <w:sz w:val="24"/>
          <w:szCs w:val="24"/>
        </w:rPr>
        <w:t>frecvenţe</w:t>
      </w:r>
      <w:proofErr w:type="spellEnd"/>
      <w:r w:rsidRPr="00346CE4">
        <w:rPr>
          <w:b/>
          <w:sz w:val="24"/>
          <w:szCs w:val="24"/>
        </w:rPr>
        <w:t xml:space="preserve"> </w:t>
      </w:r>
      <w:r w:rsidRPr="00346CE4">
        <w:rPr>
          <w:b/>
          <w:bCs/>
          <w:sz w:val="24"/>
          <w:szCs w:val="24"/>
        </w:rPr>
        <w:t>451-457,5 / 461-467,5 MHz (450) MHz</w:t>
      </w:r>
    </w:p>
    <w:p w:rsidR="00346CE4" w:rsidRPr="00346CE4" w:rsidRDefault="00346CE4" w:rsidP="00346CE4">
      <w:pPr>
        <w:ind w:firstLine="708"/>
        <w:rPr>
          <w:sz w:val="24"/>
          <w:szCs w:val="24"/>
        </w:rPr>
      </w:pPr>
      <w:r w:rsidRPr="00346CE4">
        <w:rPr>
          <w:sz w:val="24"/>
          <w:szCs w:val="24"/>
        </w:rPr>
        <w:t xml:space="preserve">În Republica Moldova </w:t>
      </w:r>
      <w:proofErr w:type="spellStart"/>
      <w:r w:rsidRPr="00346CE4">
        <w:rPr>
          <w:sz w:val="24"/>
          <w:szCs w:val="24"/>
        </w:rPr>
        <w:t>subbanda</w:t>
      </w:r>
      <w:proofErr w:type="spellEnd"/>
      <w:r w:rsidRPr="00346CE4">
        <w:rPr>
          <w:sz w:val="24"/>
          <w:szCs w:val="24"/>
        </w:rPr>
        <w:t xml:space="preserve"> de frecvențe 453,0-457,5/ 463,0-467,5 MHz este utilizată în prezent de către un furnizor pentru furnizarea de servicii de comunicații electronice, inclusiv servicii de acces universal, precum WLL (buclă locală fără fir) pentru telefonie fixă în mediul rural și în zonele izolate.</w:t>
      </w:r>
    </w:p>
    <w:p w:rsidR="00346CE4" w:rsidRPr="00346CE4" w:rsidRDefault="00346CE4" w:rsidP="00346CE4">
      <w:pPr>
        <w:ind w:firstLine="708"/>
        <w:rPr>
          <w:sz w:val="24"/>
          <w:szCs w:val="24"/>
        </w:rPr>
      </w:pPr>
      <w:r w:rsidRPr="00346CE4">
        <w:rPr>
          <w:sz w:val="24"/>
          <w:szCs w:val="24"/>
        </w:rPr>
        <w:t xml:space="preserve">Implementarea rețelei CDMA 1xRTT a demarat în anul 2004 în baza Hotărârii Guvernului nr. 1234/2004 cu privire la aprobarea Programului de telefonizare a </w:t>
      </w:r>
      <w:proofErr w:type="spellStart"/>
      <w:r w:rsidRPr="00346CE4">
        <w:rPr>
          <w:sz w:val="24"/>
          <w:szCs w:val="24"/>
        </w:rPr>
        <w:t>ţării</w:t>
      </w:r>
      <w:proofErr w:type="spellEnd"/>
      <w:r w:rsidRPr="00346CE4">
        <w:rPr>
          <w:sz w:val="24"/>
          <w:szCs w:val="24"/>
        </w:rPr>
        <w:t xml:space="preserve"> pentru anii 2005-2010. Ulterior, în anul 2006, în baza licenței obținute, furnizorul a lansat serviciile de comunicații electronice mobile (CDMA2000 EVDO 1x Rev.0).</w:t>
      </w:r>
    </w:p>
    <w:p w:rsidR="00346CE4" w:rsidRPr="00346CE4" w:rsidRDefault="00346CE4" w:rsidP="00346CE4">
      <w:pPr>
        <w:ind w:firstLine="708"/>
        <w:rPr>
          <w:sz w:val="24"/>
          <w:szCs w:val="24"/>
        </w:rPr>
      </w:pPr>
      <w:r w:rsidRPr="00346CE4">
        <w:rPr>
          <w:sz w:val="24"/>
          <w:szCs w:val="24"/>
        </w:rPr>
        <w:t xml:space="preserve">Termenul de valabilitate al licenței este 29 iunie 2021, cu posibilitatea reînnoirii acesteia în conformitate cu prevederile art. 26 alin. (26) și (31), art. 45 alin. (3) din Legea comunicațiilor electronice nr. 241/2007 și punctul 80 din Condițiile </w:t>
      </w:r>
      <w:proofErr w:type="spellStart"/>
      <w:r w:rsidRPr="00346CE4">
        <w:rPr>
          <w:sz w:val="24"/>
          <w:szCs w:val="24"/>
        </w:rPr>
        <w:t>licenţei</w:t>
      </w:r>
      <w:proofErr w:type="spellEnd"/>
      <w:r w:rsidRPr="00346CE4">
        <w:rPr>
          <w:sz w:val="24"/>
          <w:szCs w:val="24"/>
        </w:rPr>
        <w:t xml:space="preserve"> individuale nr. 020446 din 29 iunie </w:t>
      </w:r>
      <w:r w:rsidRPr="00346CE4">
        <w:rPr>
          <w:sz w:val="24"/>
          <w:szCs w:val="24"/>
        </w:rPr>
        <w:lastRenderedPageBreak/>
        <w:t xml:space="preserve">2006 privind prestarea serviciilor de telefonie mobilă celulară, standardul CDMA 2000, în banda de </w:t>
      </w:r>
      <w:proofErr w:type="spellStart"/>
      <w:r w:rsidRPr="00346CE4">
        <w:rPr>
          <w:sz w:val="24"/>
          <w:szCs w:val="24"/>
        </w:rPr>
        <w:t>frecvenţe</w:t>
      </w:r>
      <w:proofErr w:type="spellEnd"/>
      <w:r w:rsidRPr="00346CE4">
        <w:rPr>
          <w:sz w:val="24"/>
          <w:szCs w:val="24"/>
        </w:rPr>
        <w:t xml:space="preserve"> 450 MHz acordată „</w:t>
      </w:r>
      <w:proofErr w:type="spellStart"/>
      <w:r w:rsidRPr="00346CE4">
        <w:rPr>
          <w:sz w:val="24"/>
          <w:szCs w:val="24"/>
        </w:rPr>
        <w:t>Moldtelecom</w:t>
      </w:r>
      <w:proofErr w:type="spellEnd"/>
      <w:r w:rsidRPr="00346CE4">
        <w:rPr>
          <w:sz w:val="24"/>
          <w:szCs w:val="24"/>
        </w:rPr>
        <w:t>” S.A.</w:t>
      </w:r>
    </w:p>
    <w:p w:rsidR="00346CE4" w:rsidRPr="00346CE4" w:rsidRDefault="00346CE4" w:rsidP="00346CE4">
      <w:pPr>
        <w:ind w:firstLine="708"/>
        <w:rPr>
          <w:sz w:val="24"/>
          <w:szCs w:val="24"/>
        </w:rPr>
      </w:pPr>
      <w:r w:rsidRPr="00346CE4">
        <w:rPr>
          <w:sz w:val="24"/>
          <w:szCs w:val="24"/>
        </w:rPr>
        <w:t xml:space="preserve">Conform notei TNABF RN029A, benzile de </w:t>
      </w:r>
      <w:proofErr w:type="spellStart"/>
      <w:r w:rsidRPr="00346CE4">
        <w:rPr>
          <w:sz w:val="24"/>
          <w:szCs w:val="24"/>
        </w:rPr>
        <w:t>frecvenţe</w:t>
      </w:r>
      <w:proofErr w:type="spellEnd"/>
      <w:r w:rsidRPr="00346CE4">
        <w:rPr>
          <w:sz w:val="24"/>
          <w:szCs w:val="24"/>
        </w:rPr>
        <w:t xml:space="preserve"> 451-457,5 MHz în pereche cu 461-467,5 MHz sunt destinate pentru implementarea tehnologiilor avansate de </w:t>
      </w:r>
      <w:proofErr w:type="spellStart"/>
      <w:r w:rsidRPr="00346CE4">
        <w:rPr>
          <w:sz w:val="24"/>
          <w:szCs w:val="24"/>
        </w:rPr>
        <w:t>comunicaţii</w:t>
      </w:r>
      <w:proofErr w:type="spellEnd"/>
      <w:r w:rsidRPr="00346CE4">
        <w:rPr>
          <w:sz w:val="24"/>
          <w:szCs w:val="24"/>
        </w:rPr>
        <w:t xml:space="preserve"> electronice mobile de bandă largă în baza principiului </w:t>
      </w:r>
      <w:proofErr w:type="spellStart"/>
      <w:r w:rsidRPr="00346CE4">
        <w:rPr>
          <w:sz w:val="24"/>
          <w:szCs w:val="24"/>
        </w:rPr>
        <w:t>neutralităţii</w:t>
      </w:r>
      <w:proofErr w:type="spellEnd"/>
      <w:r w:rsidRPr="00346CE4">
        <w:rPr>
          <w:sz w:val="24"/>
          <w:szCs w:val="24"/>
        </w:rPr>
        <w:t xml:space="preserve"> tehnologice.</w:t>
      </w:r>
    </w:p>
    <w:p w:rsidR="00346CE4" w:rsidRPr="00346CE4" w:rsidRDefault="00346CE4" w:rsidP="00346CE4">
      <w:pPr>
        <w:ind w:firstLine="708"/>
        <w:rPr>
          <w:sz w:val="24"/>
          <w:szCs w:val="24"/>
        </w:rPr>
      </w:pPr>
      <w:r w:rsidRPr="00346CE4">
        <w:rPr>
          <w:sz w:val="24"/>
          <w:szCs w:val="24"/>
        </w:rPr>
        <w:t xml:space="preserve">Cadrul european de reglementare actual, prin Decizia Comitetului </w:t>
      </w:r>
      <w:proofErr w:type="spellStart"/>
      <w:r w:rsidRPr="00346CE4">
        <w:rPr>
          <w:sz w:val="24"/>
          <w:szCs w:val="24"/>
        </w:rPr>
        <w:t>Comunicaţiilor</w:t>
      </w:r>
      <w:proofErr w:type="spellEnd"/>
      <w:r w:rsidRPr="00346CE4">
        <w:rPr>
          <w:sz w:val="24"/>
          <w:szCs w:val="24"/>
        </w:rPr>
        <w:t xml:space="preserve"> Electronice (ECC) din cadrul Conferinței Europene pentru Poștă și Telecomunicații (CEPT) - (ECC) ECC/DEC/(19)02 este neutru din punct de vedere tehnologic și permite implementarea multor tipuri de sisteme mobile terestre, cum ar fi rețelele PMR/PAMR, TETRA TEDS care utilizează lărgimea de bandă de 25 kHz, 50 kHz, 100 kHz </w:t>
      </w:r>
      <w:proofErr w:type="spellStart"/>
      <w:r w:rsidRPr="00346CE4">
        <w:rPr>
          <w:sz w:val="24"/>
          <w:szCs w:val="24"/>
        </w:rPr>
        <w:t>şi</w:t>
      </w:r>
      <w:proofErr w:type="spellEnd"/>
      <w:r w:rsidRPr="00346CE4">
        <w:rPr>
          <w:sz w:val="24"/>
          <w:szCs w:val="24"/>
        </w:rPr>
        <w:t xml:space="preserve"> de 150 kHz, sisteme care utilizează lărgimea de bandă a canalului de 200 kHz bazate pe tehnologia GSM, M2M/</w:t>
      </w:r>
      <w:proofErr w:type="spellStart"/>
      <w:r w:rsidRPr="00346CE4">
        <w:rPr>
          <w:sz w:val="24"/>
          <w:szCs w:val="24"/>
        </w:rPr>
        <w:t>IoT</w:t>
      </w:r>
      <w:proofErr w:type="spellEnd"/>
      <w:r w:rsidRPr="00346CE4">
        <w:rPr>
          <w:sz w:val="24"/>
          <w:szCs w:val="24"/>
        </w:rPr>
        <w:t xml:space="preserve"> bazate pe tehnologii NB-</w:t>
      </w:r>
      <w:proofErr w:type="spellStart"/>
      <w:r w:rsidRPr="00346CE4">
        <w:rPr>
          <w:sz w:val="24"/>
          <w:szCs w:val="24"/>
        </w:rPr>
        <w:t>IoT</w:t>
      </w:r>
      <w:proofErr w:type="spellEnd"/>
      <w:r w:rsidRPr="00346CE4">
        <w:rPr>
          <w:sz w:val="24"/>
          <w:szCs w:val="24"/>
        </w:rPr>
        <w:t xml:space="preserve"> și LPWAN (</w:t>
      </w:r>
      <w:proofErr w:type="spellStart"/>
      <w:r w:rsidRPr="00346CE4">
        <w:rPr>
          <w:sz w:val="24"/>
          <w:szCs w:val="24"/>
        </w:rPr>
        <w:t>Low</w:t>
      </w:r>
      <w:proofErr w:type="spellEnd"/>
      <w:r w:rsidRPr="00346CE4">
        <w:rPr>
          <w:sz w:val="24"/>
          <w:szCs w:val="24"/>
        </w:rPr>
        <w:t xml:space="preserve"> Power </w:t>
      </w:r>
      <w:proofErr w:type="spellStart"/>
      <w:r w:rsidRPr="00346CE4">
        <w:rPr>
          <w:sz w:val="24"/>
          <w:szCs w:val="24"/>
        </w:rPr>
        <w:t>Wide</w:t>
      </w:r>
      <w:proofErr w:type="spellEnd"/>
      <w:r w:rsidRPr="00346CE4">
        <w:rPr>
          <w:sz w:val="24"/>
          <w:szCs w:val="24"/>
        </w:rPr>
        <w:t xml:space="preserve"> </w:t>
      </w:r>
      <w:proofErr w:type="spellStart"/>
      <w:r w:rsidRPr="00346CE4">
        <w:rPr>
          <w:sz w:val="24"/>
          <w:szCs w:val="24"/>
        </w:rPr>
        <w:t>Area</w:t>
      </w:r>
      <w:proofErr w:type="spellEnd"/>
      <w:r w:rsidRPr="00346CE4">
        <w:rPr>
          <w:sz w:val="24"/>
          <w:szCs w:val="24"/>
        </w:rPr>
        <w:t xml:space="preserve"> </w:t>
      </w:r>
      <w:proofErr w:type="spellStart"/>
      <w:r w:rsidRPr="00346CE4">
        <w:rPr>
          <w:sz w:val="24"/>
          <w:szCs w:val="24"/>
        </w:rPr>
        <w:t>Networks</w:t>
      </w:r>
      <w:proofErr w:type="spellEnd"/>
      <w:r w:rsidRPr="00346CE4">
        <w:rPr>
          <w:sz w:val="24"/>
          <w:szCs w:val="24"/>
        </w:rPr>
        <w:t>), CDMA-PAMR care utilizează lărgimea de bandă de 1,25 MHz sau LTE (</w:t>
      </w:r>
      <w:proofErr w:type="spellStart"/>
      <w:r w:rsidRPr="00346CE4">
        <w:rPr>
          <w:sz w:val="24"/>
          <w:szCs w:val="24"/>
        </w:rPr>
        <w:t>Long-Term</w:t>
      </w:r>
      <w:proofErr w:type="spellEnd"/>
      <w:r w:rsidRPr="00346CE4">
        <w:rPr>
          <w:sz w:val="24"/>
          <w:szCs w:val="24"/>
        </w:rPr>
        <w:t xml:space="preserve"> </w:t>
      </w:r>
      <w:proofErr w:type="spellStart"/>
      <w:r w:rsidRPr="00346CE4">
        <w:rPr>
          <w:sz w:val="24"/>
          <w:szCs w:val="24"/>
        </w:rPr>
        <w:t>Evolution</w:t>
      </w:r>
      <w:proofErr w:type="spellEnd"/>
      <w:r w:rsidRPr="00346CE4">
        <w:rPr>
          <w:sz w:val="24"/>
          <w:szCs w:val="24"/>
        </w:rPr>
        <w:t xml:space="preserve">) care utilizează lărgimea de bandă de 200 kHz, 1,4 MHz, 3 MHz și 5 MHz. </w:t>
      </w:r>
    </w:p>
    <w:p w:rsidR="00346CE4" w:rsidRPr="00346CE4" w:rsidRDefault="00346CE4" w:rsidP="00346CE4">
      <w:pPr>
        <w:ind w:firstLine="708"/>
        <w:rPr>
          <w:sz w:val="24"/>
          <w:szCs w:val="24"/>
        </w:rPr>
      </w:pPr>
      <w:r w:rsidRPr="00346CE4">
        <w:rPr>
          <w:sz w:val="24"/>
          <w:szCs w:val="24"/>
        </w:rPr>
        <w:t xml:space="preserve">Banda 450-470 MHz este identificată pentru utilizare de către administrațiile care doresc să implementeze Telecomunicații Mobile Internaționale (IMT - International Mobile Telecommunications). Identificarea în cauză nu exclude utilizarea acestei benzi de către alte aplicații ale serviciilor alocate și nu stabilește prioritate în Regulamentul </w:t>
      </w:r>
      <w:proofErr w:type="spellStart"/>
      <w:r w:rsidRPr="00346CE4">
        <w:rPr>
          <w:sz w:val="24"/>
          <w:szCs w:val="24"/>
        </w:rPr>
        <w:t>radiocomunicaţiilor</w:t>
      </w:r>
      <w:proofErr w:type="spellEnd"/>
      <w:r w:rsidRPr="00346CE4">
        <w:rPr>
          <w:sz w:val="24"/>
          <w:szCs w:val="24"/>
        </w:rPr>
        <w:t xml:space="preserve"> al Uniunii Internaționale a Telecomunicațiilor.</w:t>
      </w:r>
    </w:p>
    <w:p w:rsidR="00346CE4" w:rsidRPr="00346CE4" w:rsidRDefault="00346CE4" w:rsidP="00346CE4">
      <w:pPr>
        <w:ind w:firstLine="708"/>
        <w:rPr>
          <w:sz w:val="24"/>
          <w:szCs w:val="24"/>
        </w:rPr>
      </w:pPr>
      <w:r w:rsidRPr="00346CE4">
        <w:rPr>
          <w:sz w:val="24"/>
          <w:szCs w:val="24"/>
        </w:rPr>
        <w:t>La nivel european, această bandă se caracterizează prin utilizarea fragmentată între utilizatorii guvernamentali și neguvernamentali, implementarea rețelelor de comunicații mobile analoge și digitale de bandă îngustă și a rețelelor de bandă largă, cu tendința de modernizare sau scoaterea treptată din funcțiune a rețelelor CDMA2000 vechi.</w:t>
      </w:r>
    </w:p>
    <w:p w:rsidR="00346CE4" w:rsidRPr="00346CE4" w:rsidRDefault="00346CE4" w:rsidP="00346CE4">
      <w:pPr>
        <w:tabs>
          <w:tab w:val="left" w:pos="0"/>
          <w:tab w:val="left" w:pos="1134"/>
        </w:tabs>
        <w:ind w:firstLine="810"/>
        <w:rPr>
          <w:b/>
          <w:sz w:val="24"/>
          <w:szCs w:val="24"/>
        </w:rPr>
      </w:pPr>
      <w:r w:rsidRPr="00346CE4">
        <w:rPr>
          <w:b/>
          <w:sz w:val="24"/>
          <w:szCs w:val="24"/>
        </w:rPr>
        <w:t xml:space="preserve">2) Banda de </w:t>
      </w:r>
      <w:proofErr w:type="spellStart"/>
      <w:r w:rsidRPr="00346CE4">
        <w:rPr>
          <w:b/>
          <w:sz w:val="24"/>
          <w:szCs w:val="24"/>
        </w:rPr>
        <w:t>frecvenţe</w:t>
      </w:r>
      <w:proofErr w:type="spellEnd"/>
      <w:r w:rsidRPr="00346CE4">
        <w:rPr>
          <w:b/>
          <w:sz w:val="24"/>
          <w:szCs w:val="24"/>
        </w:rPr>
        <w:t xml:space="preserve"> 694-790 MHz (700 MHz)</w:t>
      </w:r>
    </w:p>
    <w:p w:rsidR="00346CE4" w:rsidRPr="00346CE4" w:rsidRDefault="00346CE4" w:rsidP="00346CE4">
      <w:pPr>
        <w:tabs>
          <w:tab w:val="left" w:pos="0"/>
        </w:tabs>
        <w:rPr>
          <w:sz w:val="24"/>
          <w:szCs w:val="24"/>
        </w:rPr>
      </w:pPr>
      <w:r w:rsidRPr="00346CE4">
        <w:rPr>
          <w:sz w:val="24"/>
          <w:szCs w:val="24"/>
        </w:rPr>
        <w:t xml:space="preserve">Banda 694-790 MHz a fost utilizată pe parcursul ultimelor decenii pentru radiodifuziune analogă (televiziune analogă terestră, canalele 49-60). Ca urmare a sistării funcționării televiziunii analoge terestre pe teritoriul Republicii Moldova ce va avea loc în termen proxim, banda respectivă va deveni disponibilă pentru implementarea tehnologiilor avansate de </w:t>
      </w:r>
      <w:proofErr w:type="spellStart"/>
      <w:r w:rsidRPr="00346CE4">
        <w:rPr>
          <w:sz w:val="24"/>
          <w:szCs w:val="24"/>
        </w:rPr>
        <w:t>comunicaţii</w:t>
      </w:r>
      <w:proofErr w:type="spellEnd"/>
      <w:r w:rsidRPr="00346CE4">
        <w:rPr>
          <w:sz w:val="24"/>
          <w:szCs w:val="24"/>
        </w:rPr>
        <w:t xml:space="preserve"> electronice mobile de bandă largă (dividendul digital II).</w:t>
      </w:r>
    </w:p>
    <w:p w:rsidR="00346CE4" w:rsidRPr="00346CE4" w:rsidRDefault="00346CE4" w:rsidP="00346CE4">
      <w:pPr>
        <w:tabs>
          <w:tab w:val="left" w:pos="0"/>
        </w:tabs>
        <w:rPr>
          <w:sz w:val="24"/>
          <w:szCs w:val="24"/>
        </w:rPr>
      </w:pPr>
      <w:r w:rsidRPr="00346CE4">
        <w:rPr>
          <w:sz w:val="24"/>
          <w:szCs w:val="24"/>
        </w:rPr>
        <w:t>La Conferința Mondială de Radiocomunicații a UIT din 2015, banda 694-790 MHz a fost identificată pentru utilizare de către sistemele de comunicații mobile de bandă largă IMT.</w:t>
      </w:r>
    </w:p>
    <w:p w:rsidR="00346CE4" w:rsidRPr="00346CE4" w:rsidRDefault="00346CE4" w:rsidP="00346CE4">
      <w:pPr>
        <w:tabs>
          <w:tab w:val="left" w:pos="0"/>
        </w:tabs>
        <w:ind w:firstLine="720"/>
        <w:rPr>
          <w:sz w:val="24"/>
          <w:szCs w:val="24"/>
        </w:rPr>
      </w:pPr>
      <w:r w:rsidRPr="00346CE4">
        <w:rPr>
          <w:sz w:val="24"/>
          <w:szCs w:val="24"/>
        </w:rPr>
        <w:t xml:space="preserve">La nivel european, Grupul pe Probleme de Politică privind Spectrul Radio (în continuare – </w:t>
      </w:r>
      <w:r w:rsidRPr="00346CE4">
        <w:rPr>
          <w:i/>
          <w:sz w:val="24"/>
          <w:szCs w:val="24"/>
        </w:rPr>
        <w:t>RSPG</w:t>
      </w:r>
      <w:r w:rsidRPr="00346CE4">
        <w:rPr>
          <w:sz w:val="24"/>
          <w:szCs w:val="24"/>
        </w:rPr>
        <w:t>) a identificat banda 694-790 MHz drept prioritară pentru introducerea timpurie a sistemelor de comunicații mobile de generația a 5-a în Uniunea Europeană.</w:t>
      </w:r>
    </w:p>
    <w:p w:rsidR="00346CE4" w:rsidRPr="00346CE4" w:rsidRDefault="00346CE4" w:rsidP="00346CE4">
      <w:pPr>
        <w:tabs>
          <w:tab w:val="left" w:pos="0"/>
        </w:tabs>
        <w:rPr>
          <w:sz w:val="24"/>
          <w:szCs w:val="24"/>
        </w:rPr>
      </w:pPr>
      <w:r w:rsidRPr="00346CE4">
        <w:rPr>
          <w:sz w:val="24"/>
          <w:szCs w:val="24"/>
        </w:rPr>
        <w:t xml:space="preserve">Decizia Comisiei Europene (UE) 2016/687, adoptată la 28 aprilie 2016, a stabilit armonizarea benzii de frecvențe 694-790 MHz pentru sisteme terestre capabile să furnizeze servicii de comunicații electronice de bandă largă și o utilizare națională flexibilă în Uniune, precum </w:t>
      </w:r>
      <w:proofErr w:type="spellStart"/>
      <w:r w:rsidRPr="00346CE4">
        <w:rPr>
          <w:sz w:val="24"/>
          <w:szCs w:val="24"/>
        </w:rPr>
        <w:t>şi</w:t>
      </w:r>
      <w:proofErr w:type="spellEnd"/>
      <w:r w:rsidRPr="00346CE4">
        <w:rPr>
          <w:sz w:val="24"/>
          <w:szCs w:val="24"/>
        </w:rPr>
        <w:t xml:space="preserve"> condițiile tehnice armonizate pentru disponibilitatea și utilizarea eficientă a benzii de frecvențe 694-790 MHz pentru sisteme terestre capabile să furnizeze servicii de comunicații electronice pe suport radio de bandă largă.</w:t>
      </w:r>
    </w:p>
    <w:p w:rsidR="00346CE4" w:rsidRPr="00346CE4" w:rsidRDefault="00346CE4" w:rsidP="00346CE4">
      <w:pPr>
        <w:tabs>
          <w:tab w:val="left" w:pos="0"/>
        </w:tabs>
        <w:rPr>
          <w:sz w:val="24"/>
          <w:szCs w:val="24"/>
        </w:rPr>
      </w:pPr>
      <w:r w:rsidRPr="00346CE4">
        <w:rPr>
          <w:sz w:val="24"/>
          <w:szCs w:val="24"/>
        </w:rPr>
        <w:t xml:space="preserve">Decizia Parlamentului European </w:t>
      </w:r>
      <w:proofErr w:type="spellStart"/>
      <w:r w:rsidRPr="00346CE4">
        <w:rPr>
          <w:sz w:val="24"/>
          <w:szCs w:val="24"/>
        </w:rPr>
        <w:t>şi</w:t>
      </w:r>
      <w:proofErr w:type="spellEnd"/>
      <w:r w:rsidRPr="00346CE4">
        <w:rPr>
          <w:sz w:val="24"/>
          <w:szCs w:val="24"/>
        </w:rPr>
        <w:t xml:space="preserve"> a Consiliului (UE) 2017/899 din 17 mai 2017 privind utilizarea benzii de frecvențe de 470-790 MHz în Uniune prevede utilizarea benzii de frecvențe 694-790 (700 MHz) pentru comunicații mobile de generația a 5-a, începând cu 30 iunie 2020 (termenul fiind posibil de prelungit până la 2 ani pe baza unuia sau mai multora dintre motivele bine întemeiate care figurează în anexa la Decizie).</w:t>
      </w:r>
    </w:p>
    <w:p w:rsidR="00346CE4" w:rsidRPr="00346CE4" w:rsidRDefault="00346CE4" w:rsidP="00346CE4">
      <w:pPr>
        <w:tabs>
          <w:tab w:val="left" w:pos="1134"/>
        </w:tabs>
        <w:ind w:firstLine="720"/>
        <w:rPr>
          <w:b/>
          <w:sz w:val="24"/>
          <w:szCs w:val="24"/>
        </w:rPr>
      </w:pPr>
      <w:r w:rsidRPr="00346CE4">
        <w:rPr>
          <w:b/>
          <w:sz w:val="24"/>
          <w:szCs w:val="24"/>
        </w:rPr>
        <w:t xml:space="preserve">3) Banda de </w:t>
      </w:r>
      <w:proofErr w:type="spellStart"/>
      <w:r w:rsidRPr="00346CE4">
        <w:rPr>
          <w:b/>
          <w:sz w:val="24"/>
          <w:szCs w:val="24"/>
        </w:rPr>
        <w:t>frecvenţe</w:t>
      </w:r>
      <w:proofErr w:type="spellEnd"/>
      <w:r w:rsidRPr="00346CE4">
        <w:rPr>
          <w:b/>
          <w:sz w:val="24"/>
          <w:szCs w:val="24"/>
        </w:rPr>
        <w:t xml:space="preserve"> 790-862 MHz (800 MHz)</w:t>
      </w:r>
    </w:p>
    <w:p w:rsidR="00346CE4" w:rsidRPr="00346CE4" w:rsidRDefault="00346CE4" w:rsidP="00346CE4">
      <w:pPr>
        <w:tabs>
          <w:tab w:val="left" w:pos="0"/>
        </w:tabs>
        <w:rPr>
          <w:b/>
          <w:sz w:val="24"/>
          <w:szCs w:val="24"/>
        </w:rPr>
      </w:pPr>
      <w:r w:rsidRPr="00346CE4">
        <w:rPr>
          <w:sz w:val="24"/>
          <w:szCs w:val="24"/>
        </w:rPr>
        <w:t xml:space="preserve">În Republica Moldova banda respectivă este utilizată pentru furnizarea serviciilor de comunicații electronice de bandă largă. Ca urmare a executării prevederilor Programului </w:t>
      </w:r>
      <w:r w:rsidRPr="00346CE4">
        <w:rPr>
          <w:rStyle w:val="ad"/>
          <w:sz w:val="24"/>
          <w:szCs w:val="24"/>
          <w:shd w:val="clear" w:color="auto" w:fill="FFFFFF"/>
        </w:rPr>
        <w:t xml:space="preserve">de management al spectrului de </w:t>
      </w:r>
      <w:proofErr w:type="spellStart"/>
      <w:r w:rsidRPr="00346CE4">
        <w:rPr>
          <w:rStyle w:val="ad"/>
          <w:sz w:val="24"/>
          <w:szCs w:val="24"/>
          <w:shd w:val="clear" w:color="auto" w:fill="FFFFFF"/>
        </w:rPr>
        <w:t>frecvenţe</w:t>
      </w:r>
      <w:proofErr w:type="spellEnd"/>
      <w:r w:rsidRPr="00346CE4">
        <w:rPr>
          <w:rStyle w:val="ad"/>
          <w:sz w:val="24"/>
          <w:szCs w:val="24"/>
          <w:shd w:val="clear" w:color="auto" w:fill="FFFFFF"/>
        </w:rPr>
        <w:t xml:space="preserve"> radio pe anii 2013-2020, banda respectivă a fost valorificată integral, fiind eliberate licențe pentru utilizarea benzii de către doi furnizori de </w:t>
      </w:r>
      <w:r w:rsidRPr="00346CE4">
        <w:rPr>
          <w:sz w:val="24"/>
          <w:szCs w:val="24"/>
        </w:rPr>
        <w:t>comunicații electronice mobile</w:t>
      </w:r>
      <w:r w:rsidRPr="00346CE4">
        <w:rPr>
          <w:rStyle w:val="ad"/>
          <w:sz w:val="24"/>
          <w:szCs w:val="24"/>
          <w:shd w:val="clear" w:color="auto" w:fill="FFFFFF"/>
        </w:rPr>
        <w:t>.</w:t>
      </w:r>
    </w:p>
    <w:p w:rsidR="00346CE4" w:rsidRPr="00346CE4" w:rsidRDefault="00346CE4" w:rsidP="00346CE4">
      <w:pPr>
        <w:tabs>
          <w:tab w:val="left" w:pos="0"/>
          <w:tab w:val="left" w:pos="1134"/>
        </w:tabs>
        <w:rPr>
          <w:b/>
          <w:sz w:val="24"/>
          <w:szCs w:val="24"/>
        </w:rPr>
      </w:pPr>
      <w:r w:rsidRPr="00346CE4">
        <w:rPr>
          <w:b/>
          <w:sz w:val="24"/>
          <w:szCs w:val="24"/>
        </w:rPr>
        <w:lastRenderedPageBreak/>
        <w:t>4) Banda de frecvențe 880-890/925-935 MHz (E900 MHz)</w:t>
      </w:r>
    </w:p>
    <w:p w:rsidR="00346CE4" w:rsidRPr="00346CE4" w:rsidRDefault="00346CE4" w:rsidP="00346CE4">
      <w:pPr>
        <w:tabs>
          <w:tab w:val="left" w:pos="0"/>
        </w:tabs>
        <w:rPr>
          <w:rStyle w:val="ad"/>
          <w:b w:val="0"/>
          <w:sz w:val="24"/>
          <w:szCs w:val="24"/>
          <w:shd w:val="clear" w:color="auto" w:fill="FFFFFF"/>
        </w:rPr>
      </w:pPr>
      <w:r w:rsidRPr="00346CE4">
        <w:rPr>
          <w:sz w:val="24"/>
          <w:szCs w:val="24"/>
        </w:rPr>
        <w:t xml:space="preserve">În Republica Moldova banda de frecvențe 880-890/925-935 MHz este alocată pentru furnizarea serviciilor de comunicații electronice mobile. Ca urmare a executării prevederilor Programului </w:t>
      </w:r>
      <w:r w:rsidRPr="00346CE4">
        <w:rPr>
          <w:rStyle w:val="ad"/>
          <w:sz w:val="24"/>
          <w:szCs w:val="24"/>
          <w:shd w:val="clear" w:color="auto" w:fill="FFFFFF"/>
        </w:rPr>
        <w:t xml:space="preserve">de management al spectrului de </w:t>
      </w:r>
      <w:proofErr w:type="spellStart"/>
      <w:r w:rsidRPr="00346CE4">
        <w:rPr>
          <w:rStyle w:val="ad"/>
          <w:sz w:val="24"/>
          <w:szCs w:val="24"/>
          <w:shd w:val="clear" w:color="auto" w:fill="FFFFFF"/>
        </w:rPr>
        <w:t>frecvenţe</w:t>
      </w:r>
      <w:proofErr w:type="spellEnd"/>
      <w:r w:rsidRPr="00346CE4">
        <w:rPr>
          <w:rStyle w:val="ad"/>
          <w:sz w:val="24"/>
          <w:szCs w:val="24"/>
          <w:shd w:val="clear" w:color="auto" w:fill="FFFFFF"/>
        </w:rPr>
        <w:t xml:space="preserve"> radio pe anii 2013-2020, banda respectivă a fost valorificată parțial, fiind eliberată o licență pentru utilizarea unei </w:t>
      </w:r>
      <w:proofErr w:type="spellStart"/>
      <w:r w:rsidRPr="00346CE4">
        <w:rPr>
          <w:rStyle w:val="ad"/>
          <w:sz w:val="24"/>
          <w:szCs w:val="24"/>
          <w:shd w:val="clear" w:color="auto" w:fill="FFFFFF"/>
        </w:rPr>
        <w:t>subbenzi</w:t>
      </w:r>
      <w:proofErr w:type="spellEnd"/>
      <w:r w:rsidRPr="00346CE4">
        <w:rPr>
          <w:rStyle w:val="ad"/>
          <w:sz w:val="24"/>
          <w:szCs w:val="24"/>
          <w:shd w:val="clear" w:color="auto" w:fill="FFFFFF"/>
        </w:rPr>
        <w:t xml:space="preserve"> de către un furnizor, dar </w:t>
      </w:r>
      <w:r w:rsidRPr="00346CE4">
        <w:rPr>
          <w:sz w:val="24"/>
          <w:szCs w:val="24"/>
        </w:rPr>
        <w:t xml:space="preserve">a rămas </w:t>
      </w:r>
      <w:r w:rsidRPr="00346CE4">
        <w:rPr>
          <w:rStyle w:val="ad"/>
          <w:sz w:val="24"/>
          <w:szCs w:val="24"/>
          <w:shd w:val="clear" w:color="auto" w:fill="FFFFFF"/>
        </w:rPr>
        <w:t xml:space="preserve">disponibilă o </w:t>
      </w:r>
      <w:proofErr w:type="spellStart"/>
      <w:r w:rsidRPr="00346CE4">
        <w:rPr>
          <w:rStyle w:val="ad"/>
          <w:sz w:val="24"/>
          <w:szCs w:val="24"/>
          <w:shd w:val="clear" w:color="auto" w:fill="FFFFFF"/>
        </w:rPr>
        <w:t>subbandă</w:t>
      </w:r>
      <w:proofErr w:type="spellEnd"/>
      <w:r w:rsidRPr="00346CE4">
        <w:rPr>
          <w:rStyle w:val="ad"/>
          <w:sz w:val="24"/>
          <w:szCs w:val="24"/>
          <w:shd w:val="clear" w:color="auto" w:fill="FFFFFF"/>
        </w:rPr>
        <w:t xml:space="preserve"> de frecvențe de 2x5 MHz, regim FDD (</w:t>
      </w:r>
      <w:proofErr w:type="spellStart"/>
      <w:r w:rsidRPr="00346CE4">
        <w:rPr>
          <w:rStyle w:val="ad"/>
          <w:sz w:val="24"/>
          <w:szCs w:val="24"/>
          <w:shd w:val="clear" w:color="auto" w:fill="FFFFFF"/>
        </w:rPr>
        <w:t>Frequency</w:t>
      </w:r>
      <w:proofErr w:type="spellEnd"/>
      <w:r w:rsidRPr="00346CE4">
        <w:rPr>
          <w:rStyle w:val="ad"/>
          <w:sz w:val="24"/>
          <w:szCs w:val="24"/>
          <w:shd w:val="clear" w:color="auto" w:fill="FFFFFF"/>
        </w:rPr>
        <w:t xml:space="preserve"> Division Duplex – duplex cu diviziune în </w:t>
      </w:r>
      <w:proofErr w:type="spellStart"/>
      <w:r w:rsidRPr="00346CE4">
        <w:rPr>
          <w:rStyle w:val="ad"/>
          <w:sz w:val="24"/>
          <w:szCs w:val="24"/>
          <w:shd w:val="clear" w:color="auto" w:fill="FFFFFF"/>
        </w:rPr>
        <w:t>frecvenţe</w:t>
      </w:r>
      <w:proofErr w:type="spellEnd"/>
      <w:r w:rsidRPr="00346CE4">
        <w:rPr>
          <w:rStyle w:val="ad"/>
          <w:sz w:val="24"/>
          <w:szCs w:val="24"/>
          <w:shd w:val="clear" w:color="auto" w:fill="FFFFFF"/>
        </w:rPr>
        <w:t>).</w:t>
      </w:r>
    </w:p>
    <w:p w:rsidR="00346CE4" w:rsidRPr="00346CE4" w:rsidRDefault="00346CE4" w:rsidP="00346CE4">
      <w:pPr>
        <w:tabs>
          <w:tab w:val="left" w:pos="0"/>
        </w:tabs>
        <w:rPr>
          <w:sz w:val="24"/>
          <w:szCs w:val="24"/>
        </w:rPr>
      </w:pPr>
      <w:proofErr w:type="spellStart"/>
      <w:r w:rsidRPr="00346CE4">
        <w:rPr>
          <w:sz w:val="24"/>
          <w:szCs w:val="24"/>
        </w:rPr>
        <w:t>Subbanda</w:t>
      </w:r>
      <w:proofErr w:type="spellEnd"/>
      <w:r w:rsidRPr="00346CE4">
        <w:rPr>
          <w:sz w:val="24"/>
          <w:szCs w:val="24"/>
        </w:rPr>
        <w:t xml:space="preserve"> de frecvențe 885-890/930-935 MHz a fost inclusă în Programul de management al spectrului de frecvențe radio pe anii 2013-2020 (în cadrul benzilor 880-915/930-960 MHz) și a rămas nesolicitată.</w:t>
      </w:r>
    </w:p>
    <w:p w:rsidR="00346CE4" w:rsidRPr="00346CE4" w:rsidRDefault="00346CE4" w:rsidP="00346CE4">
      <w:pPr>
        <w:tabs>
          <w:tab w:val="left" w:pos="0"/>
        </w:tabs>
        <w:ind w:firstLine="708"/>
        <w:rPr>
          <w:sz w:val="24"/>
          <w:szCs w:val="24"/>
        </w:rPr>
      </w:pPr>
      <w:r w:rsidRPr="00346CE4">
        <w:rPr>
          <w:sz w:val="24"/>
          <w:szCs w:val="24"/>
        </w:rPr>
        <w:t>Banda de frecvențe E900 MHz, care este alocată în prezent în proporție de 50%, oferă un bloc disponibil de 2x5 MHz. Sunt necesare acțiuni în vederea alocării resursei disponibile.</w:t>
      </w:r>
    </w:p>
    <w:p w:rsidR="00346CE4" w:rsidRPr="00346CE4" w:rsidRDefault="00346CE4" w:rsidP="00346CE4">
      <w:pPr>
        <w:tabs>
          <w:tab w:val="left" w:pos="0"/>
        </w:tabs>
        <w:rPr>
          <w:sz w:val="24"/>
          <w:szCs w:val="24"/>
        </w:rPr>
      </w:pPr>
      <w:r w:rsidRPr="00346CE4">
        <w:rPr>
          <w:sz w:val="24"/>
          <w:szCs w:val="24"/>
        </w:rPr>
        <w:t>Este necesar de menționat că în cadrul benzii respective la momentul de față se atestă prezența semnalelor din partea rețelei neautorizate ce funcționează în raioanele de est ale Republicii Moldova, care utilizează aranjamente ale canalelor nearmonizate cu cele recomandate de CEPT.</w:t>
      </w:r>
    </w:p>
    <w:p w:rsidR="00346CE4" w:rsidRPr="00346CE4" w:rsidRDefault="00346CE4" w:rsidP="00346CE4">
      <w:pPr>
        <w:tabs>
          <w:tab w:val="left" w:pos="0"/>
        </w:tabs>
        <w:ind w:firstLine="708"/>
        <w:rPr>
          <w:b/>
          <w:sz w:val="24"/>
          <w:szCs w:val="24"/>
        </w:rPr>
      </w:pPr>
      <w:r w:rsidRPr="00346CE4">
        <w:rPr>
          <w:b/>
          <w:sz w:val="24"/>
          <w:szCs w:val="24"/>
        </w:rPr>
        <w:t>5) Banda de frecvențe 890-915/935-960 MHz (900 MHz)</w:t>
      </w:r>
    </w:p>
    <w:p w:rsidR="00346CE4" w:rsidRPr="00346CE4" w:rsidRDefault="00346CE4" w:rsidP="00346CE4">
      <w:pPr>
        <w:tabs>
          <w:tab w:val="left" w:pos="0"/>
        </w:tabs>
        <w:rPr>
          <w:rStyle w:val="ad"/>
          <w:b w:val="0"/>
          <w:sz w:val="24"/>
          <w:szCs w:val="24"/>
          <w:shd w:val="clear" w:color="auto" w:fill="FFFFFF"/>
        </w:rPr>
      </w:pPr>
      <w:r w:rsidRPr="00346CE4">
        <w:rPr>
          <w:sz w:val="24"/>
          <w:szCs w:val="24"/>
        </w:rPr>
        <w:t xml:space="preserve">În Republica Moldova banda respectivă este utilizată pentru furnizarea serviciilor de comunicații electronice mobile. Ca urmare a executării prevederilor Programului </w:t>
      </w:r>
      <w:r w:rsidRPr="00346CE4">
        <w:rPr>
          <w:rStyle w:val="ad"/>
          <w:sz w:val="24"/>
          <w:szCs w:val="24"/>
          <w:shd w:val="clear" w:color="auto" w:fill="FFFFFF"/>
        </w:rPr>
        <w:t xml:space="preserve">de management al spectrului de </w:t>
      </w:r>
      <w:proofErr w:type="spellStart"/>
      <w:r w:rsidRPr="00346CE4">
        <w:rPr>
          <w:rStyle w:val="ad"/>
          <w:sz w:val="24"/>
          <w:szCs w:val="24"/>
          <w:shd w:val="clear" w:color="auto" w:fill="FFFFFF"/>
        </w:rPr>
        <w:t>frecvenţe</w:t>
      </w:r>
      <w:proofErr w:type="spellEnd"/>
      <w:r w:rsidRPr="00346CE4">
        <w:rPr>
          <w:rStyle w:val="ad"/>
          <w:sz w:val="24"/>
          <w:szCs w:val="24"/>
          <w:shd w:val="clear" w:color="auto" w:fill="FFFFFF"/>
        </w:rPr>
        <w:t xml:space="preserve"> radio pe anii 2013-2020, banda respectivă a fost valorificată integral, fiind eliberate licențe pentru utilizarea benzii de către trei furnizori.</w:t>
      </w:r>
    </w:p>
    <w:p w:rsidR="00346CE4" w:rsidRPr="00346CE4" w:rsidRDefault="00346CE4" w:rsidP="00346CE4">
      <w:pPr>
        <w:tabs>
          <w:tab w:val="left" w:pos="0"/>
          <w:tab w:val="left" w:pos="1134"/>
        </w:tabs>
        <w:rPr>
          <w:b/>
          <w:sz w:val="24"/>
          <w:szCs w:val="24"/>
        </w:rPr>
      </w:pPr>
      <w:r w:rsidRPr="00346CE4">
        <w:rPr>
          <w:rStyle w:val="ad"/>
          <w:sz w:val="24"/>
          <w:szCs w:val="24"/>
          <w:shd w:val="clear" w:color="auto" w:fill="FFFFFF"/>
        </w:rPr>
        <w:t xml:space="preserve">6) </w:t>
      </w:r>
      <w:r w:rsidRPr="00346CE4">
        <w:rPr>
          <w:b/>
          <w:sz w:val="24"/>
          <w:szCs w:val="24"/>
        </w:rPr>
        <w:t>Banda de frecvențe 1427-1518 MHz</w:t>
      </w:r>
      <w:r w:rsidRPr="00346CE4">
        <w:rPr>
          <w:sz w:val="24"/>
          <w:szCs w:val="24"/>
        </w:rPr>
        <w:t xml:space="preserve"> </w:t>
      </w:r>
      <w:r w:rsidRPr="00346CE4">
        <w:rPr>
          <w:b/>
          <w:sz w:val="24"/>
          <w:szCs w:val="24"/>
        </w:rPr>
        <w:t>(1500 MHz)</w:t>
      </w:r>
    </w:p>
    <w:p w:rsidR="00346CE4" w:rsidRPr="00346CE4" w:rsidRDefault="00346CE4" w:rsidP="00346CE4">
      <w:pPr>
        <w:tabs>
          <w:tab w:val="left" w:pos="0"/>
        </w:tabs>
        <w:ind w:firstLine="720"/>
        <w:rPr>
          <w:sz w:val="24"/>
          <w:szCs w:val="24"/>
        </w:rPr>
      </w:pPr>
      <w:r w:rsidRPr="00346CE4">
        <w:rPr>
          <w:sz w:val="24"/>
          <w:szCs w:val="24"/>
        </w:rPr>
        <w:t>Conform deciziilor Conferinței Mondiale de Radiocomunicații din 2015, banda de frecvențe 1427-1518 MHz poate fi utilizată pentru implementarea IMT (International Mobile Telecommunications – Notele RR ITU 5.341A, 5.341B, 5.341C). Banda este desemnată pentru implementarea rețelelor de comunicații mobile/fixe.</w:t>
      </w:r>
    </w:p>
    <w:p w:rsidR="00346CE4" w:rsidRPr="00346CE4" w:rsidRDefault="00346CE4" w:rsidP="00346CE4">
      <w:pPr>
        <w:tabs>
          <w:tab w:val="left" w:pos="0"/>
        </w:tabs>
        <w:rPr>
          <w:b/>
          <w:sz w:val="24"/>
          <w:szCs w:val="24"/>
        </w:rPr>
      </w:pPr>
      <w:r w:rsidRPr="00346CE4">
        <w:rPr>
          <w:b/>
          <w:sz w:val="24"/>
          <w:szCs w:val="24"/>
        </w:rPr>
        <w:t>7) Banda de frecvențe 1710-1785 / 1810-1880 MHz (1800 MHz)</w:t>
      </w:r>
    </w:p>
    <w:p w:rsidR="00346CE4" w:rsidRPr="00346CE4" w:rsidRDefault="00346CE4" w:rsidP="00346CE4">
      <w:pPr>
        <w:tabs>
          <w:tab w:val="left" w:pos="709"/>
        </w:tabs>
        <w:rPr>
          <w:rStyle w:val="ad"/>
          <w:b w:val="0"/>
          <w:sz w:val="24"/>
          <w:szCs w:val="24"/>
          <w:shd w:val="clear" w:color="auto" w:fill="FFFFFF"/>
        </w:rPr>
      </w:pPr>
      <w:r w:rsidRPr="00346CE4">
        <w:rPr>
          <w:sz w:val="24"/>
          <w:szCs w:val="24"/>
        </w:rPr>
        <w:t xml:space="preserve">În Republica Moldova banda 1710-1785/1805-1880 MHz este utilizată pentru furnizarea serviciilor de comunicații electronice mobile. Ca urmare a executării prevederilor Programului </w:t>
      </w:r>
      <w:r w:rsidRPr="00346CE4">
        <w:rPr>
          <w:rStyle w:val="ad"/>
          <w:sz w:val="24"/>
          <w:szCs w:val="24"/>
          <w:shd w:val="clear" w:color="auto" w:fill="FFFFFF"/>
        </w:rPr>
        <w:t xml:space="preserve">de management al spectrului de </w:t>
      </w:r>
      <w:proofErr w:type="spellStart"/>
      <w:r w:rsidRPr="00346CE4">
        <w:rPr>
          <w:rStyle w:val="ad"/>
          <w:sz w:val="24"/>
          <w:szCs w:val="24"/>
          <w:shd w:val="clear" w:color="auto" w:fill="FFFFFF"/>
        </w:rPr>
        <w:t>frecvenţe</w:t>
      </w:r>
      <w:proofErr w:type="spellEnd"/>
      <w:r w:rsidRPr="00346CE4">
        <w:rPr>
          <w:rStyle w:val="ad"/>
          <w:sz w:val="24"/>
          <w:szCs w:val="24"/>
          <w:shd w:val="clear" w:color="auto" w:fill="FFFFFF"/>
        </w:rPr>
        <w:t xml:space="preserve"> radio pe anii 2013-2020, banda respectivă a fost valorificată integral, fiind eliberate licențe pentru utilizarea benzii de către trei furnizori.</w:t>
      </w:r>
    </w:p>
    <w:p w:rsidR="00346CE4" w:rsidRPr="00346CE4" w:rsidRDefault="00346CE4" w:rsidP="00346CE4">
      <w:pPr>
        <w:tabs>
          <w:tab w:val="left" w:pos="0"/>
          <w:tab w:val="left" w:pos="1134"/>
        </w:tabs>
        <w:rPr>
          <w:b/>
          <w:bCs/>
          <w:sz w:val="24"/>
          <w:szCs w:val="24"/>
        </w:rPr>
      </w:pPr>
      <w:r w:rsidRPr="00346CE4">
        <w:rPr>
          <w:b/>
          <w:sz w:val="24"/>
          <w:szCs w:val="24"/>
        </w:rPr>
        <w:t xml:space="preserve">8) Banda de frecvențe 1900-1980/2110-2170 MHz </w:t>
      </w:r>
      <w:r w:rsidRPr="00346CE4">
        <w:rPr>
          <w:b/>
          <w:bCs/>
          <w:sz w:val="24"/>
          <w:szCs w:val="24"/>
        </w:rPr>
        <w:t>(2100 MHz)</w:t>
      </w:r>
    </w:p>
    <w:p w:rsidR="00346CE4" w:rsidRPr="00346CE4" w:rsidRDefault="00346CE4" w:rsidP="00346CE4">
      <w:pPr>
        <w:tabs>
          <w:tab w:val="left" w:pos="0"/>
        </w:tabs>
        <w:rPr>
          <w:sz w:val="24"/>
          <w:szCs w:val="24"/>
        </w:rPr>
      </w:pPr>
      <w:r w:rsidRPr="00346CE4">
        <w:rPr>
          <w:sz w:val="24"/>
          <w:szCs w:val="24"/>
        </w:rPr>
        <w:t>În Republica Moldova benzile de frecvențe 1900-1980/2110-2170 MHz</w:t>
      </w:r>
      <w:r w:rsidRPr="00346CE4">
        <w:rPr>
          <w:b/>
          <w:sz w:val="24"/>
          <w:szCs w:val="24"/>
        </w:rPr>
        <w:t xml:space="preserve"> </w:t>
      </w:r>
      <w:r w:rsidRPr="00346CE4">
        <w:rPr>
          <w:sz w:val="24"/>
          <w:szCs w:val="24"/>
        </w:rPr>
        <w:t xml:space="preserve">sunt alocate către trei furnizori de </w:t>
      </w:r>
      <w:proofErr w:type="spellStart"/>
      <w:r w:rsidRPr="00346CE4">
        <w:rPr>
          <w:sz w:val="24"/>
          <w:szCs w:val="24"/>
        </w:rPr>
        <w:t>reţele</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/sau servicii de </w:t>
      </w:r>
      <w:proofErr w:type="spellStart"/>
      <w:r w:rsidRPr="00346CE4">
        <w:rPr>
          <w:sz w:val="24"/>
          <w:szCs w:val="24"/>
        </w:rPr>
        <w:t>comunicaţii</w:t>
      </w:r>
      <w:proofErr w:type="spellEnd"/>
      <w:r w:rsidRPr="00346CE4">
        <w:rPr>
          <w:sz w:val="24"/>
          <w:szCs w:val="24"/>
        </w:rPr>
        <w:t xml:space="preserve"> electronice mobile pentru furnizarea preponderent a sistemelor mobile UMTS (WCDMA), în condițiile unor licențe pentru care a fost implementat principiul neutralității tehnologice. Furnizorii </w:t>
      </w:r>
      <w:proofErr w:type="spellStart"/>
      <w:r w:rsidRPr="00346CE4">
        <w:rPr>
          <w:sz w:val="24"/>
          <w:szCs w:val="24"/>
        </w:rPr>
        <w:t>menţionaţi</w:t>
      </w:r>
      <w:proofErr w:type="spellEnd"/>
      <w:r w:rsidRPr="00346CE4">
        <w:rPr>
          <w:sz w:val="24"/>
          <w:szCs w:val="24"/>
        </w:rPr>
        <w:t xml:space="preserve"> </w:t>
      </w:r>
      <w:proofErr w:type="spellStart"/>
      <w:r w:rsidRPr="00346CE4">
        <w:rPr>
          <w:sz w:val="24"/>
          <w:szCs w:val="24"/>
        </w:rPr>
        <w:t>deţin</w:t>
      </w:r>
      <w:proofErr w:type="spellEnd"/>
      <w:r w:rsidRPr="00346CE4">
        <w:rPr>
          <w:sz w:val="24"/>
          <w:szCs w:val="24"/>
        </w:rPr>
        <w:t xml:space="preserve"> câte un bloc de </w:t>
      </w:r>
      <w:proofErr w:type="spellStart"/>
      <w:r w:rsidRPr="00346CE4">
        <w:rPr>
          <w:sz w:val="24"/>
          <w:szCs w:val="24"/>
        </w:rPr>
        <w:t>frecvenţe</w:t>
      </w:r>
      <w:proofErr w:type="spellEnd"/>
      <w:r w:rsidRPr="00346CE4">
        <w:rPr>
          <w:sz w:val="24"/>
          <w:szCs w:val="24"/>
        </w:rPr>
        <w:t xml:space="preserve"> 2x14,8 MHz (pereche) în banda 2100 MHz </w:t>
      </w:r>
      <w:proofErr w:type="spellStart"/>
      <w:r w:rsidRPr="00346CE4">
        <w:rPr>
          <w:sz w:val="24"/>
          <w:szCs w:val="24"/>
        </w:rPr>
        <w:t>şi</w:t>
      </w:r>
      <w:proofErr w:type="spellEnd"/>
      <w:r w:rsidRPr="00346CE4">
        <w:rPr>
          <w:sz w:val="24"/>
          <w:szCs w:val="24"/>
        </w:rPr>
        <w:t xml:space="preserve"> câte un bloc de 5 MHz (nepereche) în banda 1900-1920 MHz. Au rămas nealocate un bloc de frecvențe pereche de 2x14,8 MHz FDD și un bloc de frecvențe de 5 MHz TDD (</w:t>
      </w:r>
      <w:r w:rsidRPr="00346CE4">
        <w:rPr>
          <w:rStyle w:val="ad"/>
          <w:sz w:val="24"/>
          <w:szCs w:val="24"/>
          <w:shd w:val="clear" w:color="auto" w:fill="FFFFFF"/>
        </w:rPr>
        <w:t xml:space="preserve">Time Division </w:t>
      </w:r>
      <w:proofErr w:type="spellStart"/>
      <w:r w:rsidRPr="00346CE4">
        <w:rPr>
          <w:rStyle w:val="ad"/>
          <w:sz w:val="24"/>
          <w:szCs w:val="24"/>
          <w:shd w:val="clear" w:color="auto" w:fill="FFFFFF"/>
        </w:rPr>
        <w:t>Duplexing</w:t>
      </w:r>
      <w:proofErr w:type="spellEnd"/>
      <w:r w:rsidRPr="00346CE4">
        <w:rPr>
          <w:rStyle w:val="ad"/>
          <w:sz w:val="24"/>
          <w:szCs w:val="24"/>
          <w:shd w:val="clear" w:color="auto" w:fill="FFFFFF"/>
        </w:rPr>
        <w:t xml:space="preserve"> </w:t>
      </w:r>
      <w:r w:rsidRPr="00346CE4">
        <w:rPr>
          <w:sz w:val="24"/>
          <w:szCs w:val="24"/>
        </w:rPr>
        <w:t>-</w:t>
      </w:r>
      <w:r w:rsidRPr="00346CE4">
        <w:rPr>
          <w:rStyle w:val="ad"/>
          <w:sz w:val="24"/>
          <w:szCs w:val="24"/>
          <w:shd w:val="clear" w:color="auto" w:fill="FFFFFF"/>
        </w:rPr>
        <w:t xml:space="preserve"> duplex cu diviziune în timp) </w:t>
      </w:r>
      <w:r w:rsidRPr="00346CE4">
        <w:rPr>
          <w:sz w:val="24"/>
          <w:szCs w:val="24"/>
        </w:rPr>
        <w:t>în banda 1900-1920 MHz.</w:t>
      </w:r>
    </w:p>
    <w:p w:rsidR="00346CE4" w:rsidRPr="00346CE4" w:rsidRDefault="00346CE4" w:rsidP="00346CE4">
      <w:pPr>
        <w:tabs>
          <w:tab w:val="left" w:pos="0"/>
        </w:tabs>
        <w:rPr>
          <w:sz w:val="24"/>
          <w:szCs w:val="24"/>
        </w:rPr>
      </w:pPr>
      <w:r w:rsidRPr="00346CE4">
        <w:rPr>
          <w:sz w:val="24"/>
          <w:szCs w:val="24"/>
        </w:rPr>
        <w:t xml:space="preserve">Valabilitatea celor trei licențe eliberate în anul 2008 celor trei furnizori din Republica Moldova va expira în anul 2023, fiind posibilă reînnoirea acestora în conformitate cu punctul 1.10 din Condițiile de licență aprobate de către </w:t>
      </w: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r w:rsidRPr="00346CE4">
        <w:rPr>
          <w:sz w:val="24"/>
          <w:szCs w:val="24"/>
        </w:rPr>
        <w:t xml:space="preserve">, prin Procesul-verbal nr. 20 din 30 iulie 2008 și prevederile art. 26 alin. (26) </w:t>
      </w:r>
      <w:proofErr w:type="spellStart"/>
      <w:r w:rsidRPr="00346CE4">
        <w:rPr>
          <w:sz w:val="24"/>
          <w:szCs w:val="24"/>
        </w:rPr>
        <w:t>şi</w:t>
      </w:r>
      <w:proofErr w:type="spellEnd"/>
      <w:r w:rsidRPr="00346CE4">
        <w:rPr>
          <w:sz w:val="24"/>
          <w:szCs w:val="24"/>
        </w:rPr>
        <w:t xml:space="preserve"> (30) și art. 45 alin. (3) din Legea comunicațiilor electronice nr. 241/2007.</w:t>
      </w:r>
    </w:p>
    <w:p w:rsidR="00346CE4" w:rsidRPr="00346CE4" w:rsidRDefault="00346CE4" w:rsidP="00346CE4">
      <w:pPr>
        <w:tabs>
          <w:tab w:val="left" w:pos="0"/>
        </w:tabs>
        <w:rPr>
          <w:sz w:val="24"/>
          <w:szCs w:val="24"/>
        </w:rPr>
      </w:pPr>
      <w:r w:rsidRPr="00346CE4">
        <w:rPr>
          <w:sz w:val="24"/>
          <w:szCs w:val="24"/>
        </w:rPr>
        <w:t xml:space="preserve">În general, banda 2100 MHz este bine armonizată și nu prezintă riscuri majore de interferențe sau provocări în ceea ce privește coordonarea transfrontalieră. Cu toate acestea, unele cazuri de interferență au fost raportate în urma funcționării neconforme a echipamentelor în standardul DECT 6.0 din această bandă, fiind necesară intervenția organismului </w:t>
      </w:r>
      <w:proofErr w:type="spellStart"/>
      <w:r w:rsidRPr="00346CE4">
        <w:rPr>
          <w:sz w:val="24"/>
          <w:szCs w:val="24"/>
        </w:rPr>
        <w:t>naţional</w:t>
      </w:r>
      <w:proofErr w:type="spellEnd"/>
      <w:r w:rsidRPr="00346CE4">
        <w:rPr>
          <w:sz w:val="24"/>
          <w:szCs w:val="24"/>
        </w:rPr>
        <w:t xml:space="preserve"> de </w:t>
      </w:r>
      <w:r w:rsidRPr="00346CE4">
        <w:rPr>
          <w:sz w:val="24"/>
          <w:szCs w:val="24"/>
        </w:rPr>
        <w:lastRenderedPageBreak/>
        <w:t xml:space="preserve">gestionare tehnică a spectrului de </w:t>
      </w:r>
      <w:proofErr w:type="spellStart"/>
      <w:r w:rsidRPr="00346CE4">
        <w:rPr>
          <w:sz w:val="24"/>
          <w:szCs w:val="24"/>
        </w:rPr>
        <w:t>frecvenţe</w:t>
      </w:r>
      <w:proofErr w:type="spellEnd"/>
      <w:r w:rsidRPr="00346CE4">
        <w:rPr>
          <w:sz w:val="24"/>
          <w:szCs w:val="24"/>
        </w:rPr>
        <w:t xml:space="preserve"> radio pentru depistarea și stoparea emisiilor respective.</w:t>
      </w:r>
    </w:p>
    <w:p w:rsidR="00346CE4" w:rsidRPr="00346CE4" w:rsidRDefault="00346CE4" w:rsidP="00346CE4">
      <w:pPr>
        <w:tabs>
          <w:tab w:val="left" w:pos="0"/>
        </w:tabs>
        <w:rPr>
          <w:sz w:val="24"/>
          <w:szCs w:val="24"/>
        </w:rPr>
      </w:pPr>
      <w:r w:rsidRPr="00346CE4">
        <w:rPr>
          <w:sz w:val="24"/>
          <w:szCs w:val="24"/>
        </w:rPr>
        <w:t>Este necesar de menționat că blocurile nepereche (TDD) din banda 1900-1920 MHz nu au fost folosite de către niciun furnizor pentru furnizarea rețelelor, iar banda a rămas nevalorificată. Situația nevalorificării benzii 1900-1920 MHz de către furnizorii din Republica Moldova este în concordanță cu situația generală a benzii la nivel european, unde, de asemenea, furnizorii care dețineau resurse de spectru din benzile respective nu au valorificat aceste benzi. Raportul CEPT 52 examinează oportunitatea desemnării benzii 1900-1920 MHz pentru implementarea altor categorii de servicii.</w:t>
      </w:r>
    </w:p>
    <w:p w:rsidR="00346CE4" w:rsidRPr="00346CE4" w:rsidRDefault="00346CE4" w:rsidP="00346CE4">
      <w:pPr>
        <w:tabs>
          <w:tab w:val="left" w:pos="0"/>
        </w:tabs>
        <w:rPr>
          <w:sz w:val="24"/>
          <w:szCs w:val="24"/>
        </w:rPr>
      </w:pPr>
      <w:r w:rsidRPr="00346CE4">
        <w:rPr>
          <w:sz w:val="24"/>
          <w:szCs w:val="24"/>
        </w:rPr>
        <w:t>Ținând cont de situația actuală a acestor benzi, prezentul Program propune să fie luate în considerare doar benzile pereche 1920-1980/2110-2170 MHz, excluzând banda nepereche 1900-1920 MHz.</w:t>
      </w:r>
    </w:p>
    <w:p w:rsidR="00346CE4" w:rsidRPr="00346CE4" w:rsidRDefault="00346CE4" w:rsidP="00346CE4">
      <w:pPr>
        <w:tabs>
          <w:tab w:val="left" w:pos="0"/>
        </w:tabs>
        <w:rPr>
          <w:sz w:val="24"/>
          <w:szCs w:val="24"/>
        </w:rPr>
      </w:pPr>
      <w:r w:rsidRPr="00346CE4">
        <w:rPr>
          <w:sz w:val="24"/>
          <w:szCs w:val="24"/>
        </w:rPr>
        <w:t>Utilizarea 1900-1920 MHz va fi decisă ulterior în baza deciziilor europene armonizate de viitor și a practicilor de utilizare relevante a acestei benzi.</w:t>
      </w:r>
    </w:p>
    <w:p w:rsidR="00346CE4" w:rsidRPr="00346CE4" w:rsidRDefault="00346CE4" w:rsidP="00346CE4">
      <w:pPr>
        <w:tabs>
          <w:tab w:val="left" w:pos="0"/>
          <w:tab w:val="left" w:pos="709"/>
        </w:tabs>
        <w:rPr>
          <w:b/>
          <w:sz w:val="24"/>
          <w:szCs w:val="24"/>
        </w:rPr>
      </w:pPr>
      <w:r w:rsidRPr="00346CE4">
        <w:rPr>
          <w:b/>
          <w:sz w:val="24"/>
          <w:szCs w:val="24"/>
        </w:rPr>
        <w:t xml:space="preserve">9) Banda de </w:t>
      </w:r>
      <w:proofErr w:type="spellStart"/>
      <w:r w:rsidRPr="00346CE4">
        <w:rPr>
          <w:b/>
          <w:sz w:val="24"/>
          <w:szCs w:val="24"/>
        </w:rPr>
        <w:t>frecvenţe</w:t>
      </w:r>
      <w:proofErr w:type="spellEnd"/>
      <w:r w:rsidRPr="00346CE4">
        <w:rPr>
          <w:b/>
          <w:sz w:val="24"/>
          <w:szCs w:val="24"/>
        </w:rPr>
        <w:t xml:space="preserve"> 2300-2400 MHz (2300 MHz)</w:t>
      </w:r>
    </w:p>
    <w:p w:rsidR="00346CE4" w:rsidRPr="00346CE4" w:rsidRDefault="00346CE4" w:rsidP="00346CE4">
      <w:pPr>
        <w:tabs>
          <w:tab w:val="left" w:pos="0"/>
        </w:tabs>
        <w:rPr>
          <w:sz w:val="24"/>
          <w:szCs w:val="24"/>
        </w:rPr>
      </w:pPr>
      <w:r w:rsidRPr="00346CE4">
        <w:rPr>
          <w:sz w:val="24"/>
          <w:szCs w:val="24"/>
        </w:rPr>
        <w:t xml:space="preserve">Banda de frecvențe 2300-2400 MHz, conform hotărârii </w:t>
      </w:r>
      <w:proofErr w:type="spellStart"/>
      <w:r w:rsidRPr="00346CE4">
        <w:rPr>
          <w:sz w:val="24"/>
          <w:szCs w:val="24"/>
        </w:rPr>
        <w:t>Conferinţei</w:t>
      </w:r>
      <w:proofErr w:type="spellEnd"/>
      <w:r w:rsidRPr="00346CE4">
        <w:rPr>
          <w:sz w:val="24"/>
          <w:szCs w:val="24"/>
        </w:rPr>
        <w:t xml:space="preserve"> Mondiale de </w:t>
      </w:r>
      <w:proofErr w:type="spellStart"/>
      <w:r w:rsidRPr="00346CE4">
        <w:rPr>
          <w:sz w:val="24"/>
          <w:szCs w:val="24"/>
        </w:rPr>
        <w:t>Radiocomunicaţii</w:t>
      </w:r>
      <w:proofErr w:type="spellEnd"/>
      <w:r w:rsidRPr="00346CE4">
        <w:rPr>
          <w:sz w:val="24"/>
          <w:szCs w:val="24"/>
        </w:rPr>
        <w:t xml:space="preserve"> din anul 2007</w:t>
      </w:r>
      <w:r w:rsidRPr="00346CE4">
        <w:rPr>
          <w:bCs/>
          <w:sz w:val="24"/>
          <w:szCs w:val="24"/>
        </w:rPr>
        <w:t xml:space="preserve">, </w:t>
      </w:r>
      <w:r w:rsidRPr="00346CE4">
        <w:rPr>
          <w:sz w:val="24"/>
          <w:szCs w:val="24"/>
        </w:rPr>
        <w:t>poate fi utilizată pentru implementarea IMT (International Mobile Telecommunications – Nota 5.384A RR UIT). Banda este potrivită pentru implementarea rețelelor de comunicații mobile/fixe, inclusiv a sistemelor fără fir de bandă largă (BWS).</w:t>
      </w:r>
    </w:p>
    <w:p w:rsidR="00346CE4" w:rsidRPr="00346CE4" w:rsidRDefault="00346CE4" w:rsidP="00346CE4">
      <w:pPr>
        <w:tabs>
          <w:tab w:val="left" w:pos="0"/>
        </w:tabs>
        <w:rPr>
          <w:b/>
          <w:sz w:val="24"/>
          <w:szCs w:val="24"/>
        </w:rPr>
      </w:pPr>
      <w:r w:rsidRPr="00346CE4">
        <w:rPr>
          <w:b/>
          <w:sz w:val="24"/>
          <w:szCs w:val="24"/>
        </w:rPr>
        <w:t xml:space="preserve">10) Banda de </w:t>
      </w:r>
      <w:proofErr w:type="spellStart"/>
      <w:r w:rsidRPr="00346CE4">
        <w:rPr>
          <w:b/>
          <w:sz w:val="24"/>
          <w:szCs w:val="24"/>
        </w:rPr>
        <w:t>frecvenţe</w:t>
      </w:r>
      <w:proofErr w:type="spellEnd"/>
      <w:r w:rsidRPr="00346CE4">
        <w:rPr>
          <w:b/>
          <w:sz w:val="24"/>
          <w:szCs w:val="24"/>
        </w:rPr>
        <w:t xml:space="preserve"> 2500-2690 MHz (2600 MHz)</w:t>
      </w:r>
    </w:p>
    <w:p w:rsidR="00346CE4" w:rsidRPr="00346CE4" w:rsidRDefault="00346CE4" w:rsidP="00346CE4">
      <w:pPr>
        <w:tabs>
          <w:tab w:val="left" w:pos="0"/>
        </w:tabs>
        <w:rPr>
          <w:sz w:val="24"/>
          <w:szCs w:val="24"/>
        </w:rPr>
      </w:pPr>
      <w:r w:rsidRPr="00346CE4">
        <w:rPr>
          <w:sz w:val="24"/>
          <w:szCs w:val="24"/>
        </w:rPr>
        <w:t xml:space="preserve">Banda de frecvențe 2500-2690 MHz (2600 MHz) este constituită din două </w:t>
      </w:r>
      <w:proofErr w:type="spellStart"/>
      <w:r w:rsidRPr="00346CE4">
        <w:rPr>
          <w:sz w:val="24"/>
          <w:szCs w:val="24"/>
        </w:rPr>
        <w:t>subbenzi</w:t>
      </w:r>
      <w:proofErr w:type="spellEnd"/>
      <w:r w:rsidRPr="00346CE4">
        <w:rPr>
          <w:sz w:val="24"/>
          <w:szCs w:val="24"/>
        </w:rPr>
        <w:t xml:space="preserve">: </w:t>
      </w:r>
      <w:proofErr w:type="spellStart"/>
      <w:r w:rsidRPr="00346CE4">
        <w:rPr>
          <w:sz w:val="24"/>
          <w:szCs w:val="24"/>
        </w:rPr>
        <w:t>subbanda</w:t>
      </w:r>
      <w:proofErr w:type="spellEnd"/>
      <w:r w:rsidRPr="00346CE4">
        <w:rPr>
          <w:sz w:val="24"/>
          <w:szCs w:val="24"/>
        </w:rPr>
        <w:t xml:space="preserve"> FDD: 2500-2570 MHz / 2620-2690 MHz și </w:t>
      </w:r>
      <w:proofErr w:type="spellStart"/>
      <w:r w:rsidRPr="00346CE4">
        <w:rPr>
          <w:sz w:val="24"/>
          <w:szCs w:val="24"/>
        </w:rPr>
        <w:t>subbanda</w:t>
      </w:r>
      <w:proofErr w:type="spellEnd"/>
      <w:r w:rsidRPr="00346CE4">
        <w:rPr>
          <w:sz w:val="24"/>
          <w:szCs w:val="24"/>
        </w:rPr>
        <w:t xml:space="preserve"> TDD în decalajul duplex al </w:t>
      </w:r>
      <w:proofErr w:type="spellStart"/>
      <w:r w:rsidRPr="00346CE4">
        <w:rPr>
          <w:sz w:val="24"/>
          <w:szCs w:val="24"/>
        </w:rPr>
        <w:t>subbenzii</w:t>
      </w:r>
      <w:proofErr w:type="spellEnd"/>
      <w:r w:rsidRPr="00346CE4">
        <w:rPr>
          <w:sz w:val="24"/>
          <w:szCs w:val="24"/>
        </w:rPr>
        <w:t xml:space="preserve"> FDD: 2570-2620 MHz. În Republica Moldova banda este desemnată pentru implementarea rețelelor capabile să furnizeze servicii de comunicații electronice de bandă largă. Programul de management al spectrului de frecvențe radio pe anii 2013-2020 prevedea valorificarea integrală a </w:t>
      </w:r>
      <w:proofErr w:type="spellStart"/>
      <w:r w:rsidRPr="00346CE4">
        <w:rPr>
          <w:sz w:val="24"/>
          <w:szCs w:val="24"/>
        </w:rPr>
        <w:t>subbenzii</w:t>
      </w:r>
      <w:proofErr w:type="spellEnd"/>
      <w:r w:rsidRPr="00346CE4">
        <w:rPr>
          <w:sz w:val="24"/>
          <w:szCs w:val="24"/>
        </w:rPr>
        <w:t xml:space="preserve"> de 2500-2570 MHz/2620-2690 MHz și a </w:t>
      </w:r>
      <w:proofErr w:type="spellStart"/>
      <w:r w:rsidRPr="00346CE4">
        <w:rPr>
          <w:sz w:val="24"/>
          <w:szCs w:val="24"/>
        </w:rPr>
        <w:t>subbenzii</w:t>
      </w:r>
      <w:proofErr w:type="spellEnd"/>
      <w:r w:rsidRPr="00346CE4">
        <w:rPr>
          <w:sz w:val="24"/>
          <w:szCs w:val="24"/>
        </w:rPr>
        <w:t xml:space="preserve"> 2575-2615 MHz din </w:t>
      </w:r>
      <w:proofErr w:type="spellStart"/>
      <w:r w:rsidRPr="00346CE4">
        <w:rPr>
          <w:sz w:val="24"/>
          <w:szCs w:val="24"/>
        </w:rPr>
        <w:t>subbanda</w:t>
      </w:r>
      <w:proofErr w:type="spellEnd"/>
      <w:r w:rsidRPr="00346CE4">
        <w:rPr>
          <w:sz w:val="24"/>
          <w:szCs w:val="24"/>
        </w:rPr>
        <w:t xml:space="preserve"> TDD. În prezent, </w:t>
      </w:r>
      <w:proofErr w:type="spellStart"/>
      <w:r w:rsidRPr="00346CE4">
        <w:rPr>
          <w:sz w:val="24"/>
          <w:szCs w:val="24"/>
        </w:rPr>
        <w:t>subbanda</w:t>
      </w:r>
      <w:proofErr w:type="spellEnd"/>
      <w:r w:rsidRPr="00346CE4">
        <w:rPr>
          <w:sz w:val="24"/>
          <w:szCs w:val="24"/>
        </w:rPr>
        <w:t xml:space="preserve"> FDD este parțial folosită, fiind eliberate licențe pentru utilizare de către doi furnizori. Celelalte </w:t>
      </w:r>
      <w:proofErr w:type="spellStart"/>
      <w:r w:rsidRPr="00346CE4">
        <w:rPr>
          <w:sz w:val="24"/>
          <w:szCs w:val="24"/>
        </w:rPr>
        <w:t>subbenzi</w:t>
      </w:r>
      <w:proofErr w:type="spellEnd"/>
      <w:r w:rsidRPr="00346CE4">
        <w:rPr>
          <w:sz w:val="24"/>
          <w:szCs w:val="24"/>
        </w:rPr>
        <w:t xml:space="preserve"> din FDD (2x10 MHz și 2x20 MHz) și 1x40 MHz în regim TDD/SDL (</w:t>
      </w:r>
      <w:proofErr w:type="spellStart"/>
      <w:r w:rsidRPr="00346CE4">
        <w:rPr>
          <w:sz w:val="24"/>
          <w:szCs w:val="24"/>
        </w:rPr>
        <w:t>Supplemental</w:t>
      </w:r>
      <w:proofErr w:type="spellEnd"/>
      <w:r w:rsidRPr="00346CE4">
        <w:rPr>
          <w:sz w:val="24"/>
          <w:szCs w:val="24"/>
        </w:rPr>
        <w:t xml:space="preserve"> </w:t>
      </w:r>
      <w:proofErr w:type="spellStart"/>
      <w:r w:rsidRPr="00346CE4">
        <w:rPr>
          <w:sz w:val="24"/>
          <w:szCs w:val="24"/>
        </w:rPr>
        <w:t>Downlink</w:t>
      </w:r>
      <w:proofErr w:type="spellEnd"/>
      <w:r w:rsidRPr="00346CE4">
        <w:rPr>
          <w:sz w:val="24"/>
          <w:szCs w:val="24"/>
        </w:rPr>
        <w:t xml:space="preserve"> - legătură descendentă suplimentară) au rămas nesolicitate.</w:t>
      </w:r>
    </w:p>
    <w:p w:rsidR="00346CE4" w:rsidRPr="00346CE4" w:rsidRDefault="00346CE4" w:rsidP="00346CE4">
      <w:pPr>
        <w:tabs>
          <w:tab w:val="left" w:pos="0"/>
        </w:tabs>
        <w:rPr>
          <w:sz w:val="24"/>
          <w:szCs w:val="24"/>
        </w:rPr>
      </w:pPr>
      <w:r w:rsidRPr="00346CE4">
        <w:rPr>
          <w:sz w:val="24"/>
          <w:szCs w:val="24"/>
        </w:rPr>
        <w:t>Banda de 2600 MHz este valoroasă pentru asigurarea în mediul urban de capacități în rețelele 4G, totodată fiind și o bandă cu perspective pentru dezvoltarea ecosistemului 5G. Actualmente circa 43% din porțiunea FDD (adică 2x30 MHz) a benzii și 100% din porțiunea TDD (40 MHz) rămân nealocate și sunt necesare acțiuni în vederea alocării resurselor disponibile.</w:t>
      </w:r>
    </w:p>
    <w:p w:rsidR="00346CE4" w:rsidRPr="00346CE4" w:rsidRDefault="00346CE4" w:rsidP="00346CE4">
      <w:pPr>
        <w:pStyle w:val="1"/>
        <w:keepNext w:val="0"/>
        <w:tabs>
          <w:tab w:val="left" w:pos="0"/>
        </w:tabs>
        <w:spacing w:before="0" w:after="0"/>
        <w:ind w:firstLine="720"/>
        <w:rPr>
          <w:rFonts w:ascii="Times New Roman" w:hAnsi="Times New Roman"/>
          <w:b w:val="0"/>
          <w:sz w:val="24"/>
          <w:szCs w:val="24"/>
        </w:rPr>
      </w:pPr>
      <w:r w:rsidRPr="00346CE4">
        <w:rPr>
          <w:rFonts w:ascii="Times New Roman" w:hAnsi="Times New Roman"/>
          <w:sz w:val="24"/>
          <w:szCs w:val="24"/>
        </w:rPr>
        <w:t xml:space="preserve">11) Banda de </w:t>
      </w:r>
      <w:proofErr w:type="spellStart"/>
      <w:r w:rsidRPr="00346CE4">
        <w:rPr>
          <w:rFonts w:ascii="Times New Roman" w:hAnsi="Times New Roman"/>
          <w:sz w:val="24"/>
          <w:szCs w:val="24"/>
        </w:rPr>
        <w:t>frecvenţe</w:t>
      </w:r>
      <w:proofErr w:type="spellEnd"/>
      <w:r w:rsidRPr="00346CE4">
        <w:rPr>
          <w:rFonts w:ascii="Times New Roman" w:hAnsi="Times New Roman"/>
          <w:sz w:val="24"/>
          <w:szCs w:val="24"/>
        </w:rPr>
        <w:t xml:space="preserve"> 3400-3800 MHz (3600 MHz)</w:t>
      </w:r>
    </w:p>
    <w:p w:rsidR="00346CE4" w:rsidRPr="00346CE4" w:rsidRDefault="00346CE4" w:rsidP="00346CE4">
      <w:pPr>
        <w:pStyle w:val="1"/>
        <w:keepNext w:val="0"/>
        <w:tabs>
          <w:tab w:val="left" w:pos="0"/>
        </w:tabs>
        <w:spacing w:before="0" w:after="0"/>
        <w:ind w:firstLine="720"/>
        <w:rPr>
          <w:rFonts w:ascii="Times New Roman" w:hAnsi="Times New Roman"/>
          <w:b w:val="0"/>
          <w:sz w:val="24"/>
          <w:szCs w:val="24"/>
        </w:rPr>
      </w:pPr>
      <w:r w:rsidRPr="00346CE4">
        <w:rPr>
          <w:rFonts w:ascii="Times New Roman" w:hAnsi="Times New Roman"/>
          <w:b w:val="0"/>
          <w:sz w:val="24"/>
          <w:szCs w:val="24"/>
        </w:rPr>
        <w:t xml:space="preserve">Banda de </w:t>
      </w:r>
      <w:proofErr w:type="spellStart"/>
      <w:r w:rsidRPr="00346CE4">
        <w:rPr>
          <w:rFonts w:ascii="Times New Roman" w:hAnsi="Times New Roman"/>
          <w:b w:val="0"/>
          <w:sz w:val="24"/>
          <w:szCs w:val="24"/>
        </w:rPr>
        <w:t>frecvenţe</w:t>
      </w:r>
      <w:proofErr w:type="spellEnd"/>
      <w:r w:rsidRPr="00346CE4">
        <w:rPr>
          <w:rFonts w:ascii="Times New Roman" w:hAnsi="Times New Roman"/>
          <w:b w:val="0"/>
          <w:sz w:val="24"/>
          <w:szCs w:val="24"/>
        </w:rPr>
        <w:t xml:space="preserve"> 3400-3800 MHz (3600 MHz) a fost inclusă în Programul de management al spectrului de frecvențe radio pe anii 2013-2020 și a rămas nesolicitată până la momentul de față. La nivel european, RSPG a identificat banda 3400-3800 MHz drept bandă prioritară pentru introducerea timpurie a sistemelor de comunicații mobile de generația a 5-a în Uniunea Europeană.</w:t>
      </w:r>
    </w:p>
    <w:p w:rsidR="00346CE4" w:rsidRPr="00346CE4" w:rsidRDefault="00346CE4" w:rsidP="00346CE4">
      <w:pPr>
        <w:pStyle w:val="1"/>
        <w:keepNext w:val="0"/>
        <w:tabs>
          <w:tab w:val="left" w:pos="0"/>
        </w:tabs>
        <w:spacing w:before="0" w:after="0"/>
        <w:rPr>
          <w:rFonts w:ascii="Times New Roman" w:hAnsi="Times New Roman"/>
          <w:b w:val="0"/>
          <w:bCs/>
          <w:sz w:val="24"/>
          <w:szCs w:val="24"/>
        </w:rPr>
      </w:pPr>
      <w:r w:rsidRPr="00346CE4">
        <w:rPr>
          <w:rFonts w:ascii="Times New Roman" w:hAnsi="Times New Roman"/>
          <w:bCs/>
          <w:sz w:val="24"/>
          <w:szCs w:val="24"/>
        </w:rPr>
        <w:t>12) Banda de frecvențe 26 GHz</w:t>
      </w:r>
    </w:p>
    <w:p w:rsidR="00346CE4" w:rsidRPr="00346CE4" w:rsidRDefault="00346CE4" w:rsidP="00346CE4">
      <w:pPr>
        <w:pStyle w:val="1"/>
        <w:keepNext w:val="0"/>
        <w:tabs>
          <w:tab w:val="left" w:pos="0"/>
        </w:tabs>
        <w:spacing w:before="0" w:after="0"/>
        <w:rPr>
          <w:rFonts w:ascii="Times New Roman" w:hAnsi="Times New Roman"/>
          <w:b w:val="0"/>
          <w:sz w:val="24"/>
          <w:szCs w:val="24"/>
        </w:rPr>
      </w:pPr>
      <w:r w:rsidRPr="00346CE4">
        <w:rPr>
          <w:rFonts w:ascii="Times New Roman" w:hAnsi="Times New Roman"/>
          <w:b w:val="0"/>
          <w:bCs/>
          <w:sz w:val="24"/>
          <w:szCs w:val="24"/>
        </w:rPr>
        <w:t>Banda de frecvențe 26 GHz</w:t>
      </w:r>
      <w:r w:rsidRPr="00346CE4">
        <w:rPr>
          <w:rFonts w:ascii="Times New Roman" w:hAnsi="Times New Roman"/>
          <w:b w:val="0"/>
          <w:sz w:val="24"/>
          <w:szCs w:val="24"/>
        </w:rPr>
        <w:t xml:space="preserve">, conform hotărârii </w:t>
      </w:r>
      <w:proofErr w:type="spellStart"/>
      <w:r w:rsidRPr="00346CE4">
        <w:rPr>
          <w:rFonts w:ascii="Times New Roman" w:hAnsi="Times New Roman"/>
          <w:b w:val="0"/>
          <w:sz w:val="24"/>
          <w:szCs w:val="24"/>
        </w:rPr>
        <w:t>Conferinţei</w:t>
      </w:r>
      <w:proofErr w:type="spellEnd"/>
      <w:r w:rsidRPr="00346CE4">
        <w:rPr>
          <w:rFonts w:ascii="Times New Roman" w:hAnsi="Times New Roman"/>
          <w:b w:val="0"/>
          <w:sz w:val="24"/>
          <w:szCs w:val="24"/>
        </w:rPr>
        <w:t xml:space="preserve"> Mondiale de </w:t>
      </w:r>
      <w:proofErr w:type="spellStart"/>
      <w:r w:rsidRPr="00346CE4">
        <w:rPr>
          <w:rFonts w:ascii="Times New Roman" w:hAnsi="Times New Roman"/>
          <w:b w:val="0"/>
          <w:sz w:val="24"/>
          <w:szCs w:val="24"/>
        </w:rPr>
        <w:t>Radiocomunicaţii</w:t>
      </w:r>
      <w:proofErr w:type="spellEnd"/>
      <w:r w:rsidRPr="00346CE4">
        <w:rPr>
          <w:rFonts w:ascii="Times New Roman" w:hAnsi="Times New Roman"/>
          <w:b w:val="0"/>
          <w:sz w:val="24"/>
          <w:szCs w:val="24"/>
        </w:rPr>
        <w:t xml:space="preserve"> din anul 2019 (CMR-19), a fost identificată pentru implementarea IMT. La nivel european, RSPG a identificat banda 26 GHz drept bandă prioritară pentru introducerea timpurie a sistemelor de comunicații mobile de generația a 5-a în Uniunea Europeană;</w:t>
      </w:r>
    </w:p>
    <w:p w:rsidR="00346CE4" w:rsidRPr="00346CE4" w:rsidRDefault="00346CE4" w:rsidP="00346CE4">
      <w:pPr>
        <w:tabs>
          <w:tab w:val="left" w:pos="0"/>
        </w:tabs>
        <w:rPr>
          <w:sz w:val="24"/>
          <w:szCs w:val="24"/>
        </w:rPr>
      </w:pPr>
      <w:r w:rsidRPr="00346CE4">
        <w:rPr>
          <w:b/>
          <w:sz w:val="24"/>
          <w:szCs w:val="24"/>
        </w:rPr>
        <w:t>13) Alte benzi peste 26 GHz</w:t>
      </w:r>
    </w:p>
    <w:p w:rsidR="00346CE4" w:rsidRPr="00346CE4" w:rsidRDefault="00346CE4" w:rsidP="00346CE4">
      <w:pPr>
        <w:tabs>
          <w:tab w:val="left" w:pos="0"/>
        </w:tabs>
        <w:rPr>
          <w:sz w:val="24"/>
          <w:szCs w:val="24"/>
        </w:rPr>
      </w:pPr>
      <w:r w:rsidRPr="00346CE4">
        <w:rPr>
          <w:sz w:val="24"/>
          <w:szCs w:val="24"/>
        </w:rPr>
        <w:t xml:space="preserve">Alte benzi identificate în cadrul CMR-19 pentru implementarea IMT includ: 37-43,5 GHz, 45,5-47 GHz (unele țări), 47,2-48,2 GHz (unele țări) și 66-71 GHz. Aceste benzi vor fi incluse și examinate în cadrul următorului program de gestionare a spectrului din Republica </w:t>
      </w:r>
      <w:r w:rsidRPr="00346CE4">
        <w:rPr>
          <w:sz w:val="24"/>
          <w:szCs w:val="24"/>
        </w:rPr>
        <w:lastRenderedPageBreak/>
        <w:t>Moldova. Banda 37-40,5 GHz este utilizată în Republica Moldova pentru implementarea liniilor de radio releu, iar în viitor nu există intenția de a folosi banda de frecvențe 37-40,5 GHz pentru IMT în concordanță cu poziția CEPT la CMR-19 și planurile existente la nivel european de utilizare a acestei benzi. Benzile rămase: 40,5-43,5 GHz și 66-71 GHz sunt potrivite pentru implementarea IMT și vor constitui subiectul următorului program de gestionare a spectrului.</w:t>
      </w:r>
    </w:p>
    <w:p w:rsidR="00346CE4" w:rsidRPr="00346CE4" w:rsidRDefault="00346CE4" w:rsidP="00346CE4">
      <w:pPr>
        <w:tabs>
          <w:tab w:val="left" w:pos="0"/>
        </w:tabs>
        <w:rPr>
          <w:b/>
          <w:bCs/>
          <w:sz w:val="24"/>
          <w:szCs w:val="24"/>
        </w:rPr>
      </w:pPr>
      <w:r w:rsidRPr="00346CE4">
        <w:rPr>
          <w:b/>
          <w:sz w:val="24"/>
          <w:szCs w:val="24"/>
        </w:rPr>
        <w:t xml:space="preserve">Serviciul mobil prin satelit, inclusiv componenta complementară la sol în </w:t>
      </w:r>
      <w:r w:rsidRPr="00346CE4">
        <w:rPr>
          <w:b/>
          <w:bCs/>
          <w:sz w:val="24"/>
          <w:szCs w:val="24"/>
        </w:rPr>
        <w:t>benzile de frecvențe 1980-2010/2170-2200 MHz (2 GHz)</w:t>
      </w:r>
    </w:p>
    <w:p w:rsidR="00346CE4" w:rsidRPr="00346CE4" w:rsidRDefault="00346CE4" w:rsidP="00346CE4">
      <w:pPr>
        <w:tabs>
          <w:tab w:val="left" w:pos="0"/>
        </w:tabs>
        <w:rPr>
          <w:sz w:val="24"/>
          <w:szCs w:val="24"/>
        </w:rPr>
      </w:pPr>
      <w:r w:rsidRPr="00346CE4">
        <w:rPr>
          <w:bCs/>
          <w:sz w:val="24"/>
          <w:szCs w:val="24"/>
        </w:rPr>
        <w:t xml:space="preserve">Benzile de frecvențe 1980-2010/2170-2200 MHz (2 GHz) au fost desemnate pentru implementarea sistemelor de comunicații mobile prin satelit, incluzând și componenta la sol, prin </w:t>
      </w:r>
      <w:r w:rsidRPr="00346CE4">
        <w:rPr>
          <w:sz w:val="24"/>
          <w:szCs w:val="24"/>
        </w:rPr>
        <w:t xml:space="preserve">Decizia Comisiei Europene 2007/98/CE privind utilizarea armonizată a spectrului radio pentru benzile de frecvențe de 2 GHz în vederea punerii în aplicare a sistemelor care furnizează servicii mobile prin satelit. Ulterior, în baza Deciziei Comisiei Europene 2009/449/CE privind selectarea furnizorilor de sisteme paneuropene care furnizează servicii mobile prin satelit (MSS) au fost </w:t>
      </w:r>
      <w:proofErr w:type="spellStart"/>
      <w:r w:rsidRPr="00346CE4">
        <w:rPr>
          <w:sz w:val="24"/>
          <w:szCs w:val="24"/>
        </w:rPr>
        <w:t>selectaţi</w:t>
      </w:r>
      <w:proofErr w:type="spellEnd"/>
      <w:r w:rsidRPr="00346CE4">
        <w:rPr>
          <w:sz w:val="24"/>
          <w:szCs w:val="24"/>
        </w:rPr>
        <w:t xml:space="preserve"> doi operatori care și-au adjudecat câte 2x15 MHz de spectru din benzile respective. În Republica Moldova benzile respective nu sunt utilizate și pot fi valorificate prin armonizare cu utilizarea la nivel european. Cei doi operatori selectați pot extinde rețelele preconizate, inclusiv componenta complementară la sol și în Republica Moldova prin solicitarea de licență pentru dreptul de utilizare pe teritoriul Republicii Moldova a blocului de frecvențe utilizat la nivel european.</w:t>
      </w:r>
    </w:p>
    <w:p w:rsidR="00346CE4" w:rsidRPr="00346CE4" w:rsidRDefault="00346CE4" w:rsidP="00346CE4">
      <w:pPr>
        <w:tabs>
          <w:tab w:val="left" w:pos="0"/>
        </w:tabs>
        <w:rPr>
          <w:b/>
          <w:sz w:val="24"/>
          <w:szCs w:val="24"/>
        </w:rPr>
      </w:pPr>
    </w:p>
    <w:p w:rsidR="00346CE4" w:rsidRPr="00346CE4" w:rsidRDefault="00346CE4" w:rsidP="00346CE4">
      <w:pPr>
        <w:tabs>
          <w:tab w:val="left" w:pos="0"/>
        </w:tabs>
        <w:rPr>
          <w:sz w:val="24"/>
          <w:szCs w:val="24"/>
        </w:rPr>
      </w:pPr>
      <w:r w:rsidRPr="00346CE4">
        <w:rPr>
          <w:b/>
          <w:sz w:val="24"/>
          <w:szCs w:val="24"/>
        </w:rPr>
        <w:t>5. Cadrul actual de reglementare</w:t>
      </w:r>
    </w:p>
    <w:p w:rsidR="00346CE4" w:rsidRPr="00346CE4" w:rsidRDefault="00346CE4" w:rsidP="00346CE4">
      <w:pPr>
        <w:tabs>
          <w:tab w:val="left" w:pos="0"/>
        </w:tabs>
        <w:rPr>
          <w:sz w:val="24"/>
          <w:szCs w:val="24"/>
        </w:rPr>
      </w:pPr>
      <w:r w:rsidRPr="00346CE4">
        <w:rPr>
          <w:sz w:val="24"/>
          <w:szCs w:val="24"/>
        </w:rPr>
        <w:t xml:space="preserve">Prezentul punct al Programului include, la diverse niveluri ierarhice de decizie (UIT, UE-CEPT, </w:t>
      </w:r>
      <w:proofErr w:type="spellStart"/>
      <w:r w:rsidRPr="00346CE4">
        <w:rPr>
          <w:sz w:val="24"/>
          <w:szCs w:val="24"/>
        </w:rPr>
        <w:t>naţional</w:t>
      </w:r>
      <w:proofErr w:type="spellEnd"/>
      <w:r w:rsidRPr="00346CE4">
        <w:rPr>
          <w:sz w:val="24"/>
          <w:szCs w:val="24"/>
        </w:rPr>
        <w:t xml:space="preserve">), reglementările relevante pe care se bazează utilizarea spectrului de </w:t>
      </w:r>
      <w:proofErr w:type="spellStart"/>
      <w:r w:rsidRPr="00346CE4">
        <w:rPr>
          <w:sz w:val="24"/>
          <w:szCs w:val="24"/>
        </w:rPr>
        <w:t>frecvenţe</w:t>
      </w:r>
      <w:proofErr w:type="spellEnd"/>
      <w:r w:rsidRPr="00346CE4">
        <w:rPr>
          <w:sz w:val="24"/>
          <w:szCs w:val="24"/>
        </w:rPr>
        <w:t xml:space="preserve"> radio, implementarea </w:t>
      </w:r>
      <w:proofErr w:type="spellStart"/>
      <w:r w:rsidRPr="00346CE4">
        <w:rPr>
          <w:sz w:val="24"/>
          <w:szCs w:val="24"/>
        </w:rPr>
        <w:t>şi</w:t>
      </w:r>
      <w:proofErr w:type="spellEnd"/>
      <w:r w:rsidRPr="00346CE4">
        <w:rPr>
          <w:sz w:val="24"/>
          <w:szCs w:val="24"/>
        </w:rPr>
        <w:t xml:space="preserve"> dezvoltarea </w:t>
      </w:r>
      <w:proofErr w:type="spellStart"/>
      <w:r w:rsidRPr="00346CE4">
        <w:rPr>
          <w:sz w:val="24"/>
          <w:szCs w:val="24"/>
        </w:rPr>
        <w:t>comunicaţiilor</w:t>
      </w:r>
      <w:proofErr w:type="spellEnd"/>
      <w:r w:rsidRPr="00346CE4">
        <w:rPr>
          <w:sz w:val="24"/>
          <w:szCs w:val="24"/>
        </w:rPr>
        <w:t xml:space="preserve"> electronice mobile în bandă largă. De asemenea, se face </w:t>
      </w:r>
      <w:proofErr w:type="spellStart"/>
      <w:r w:rsidRPr="00346CE4">
        <w:rPr>
          <w:sz w:val="24"/>
          <w:szCs w:val="24"/>
        </w:rPr>
        <w:t>referinţă</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la cadrul legal european </w:t>
      </w:r>
      <w:proofErr w:type="spellStart"/>
      <w:r w:rsidRPr="00346CE4">
        <w:rPr>
          <w:sz w:val="24"/>
          <w:szCs w:val="24"/>
        </w:rPr>
        <w:t>şi</w:t>
      </w:r>
      <w:proofErr w:type="spellEnd"/>
      <w:r w:rsidRPr="00346CE4">
        <w:rPr>
          <w:sz w:val="24"/>
          <w:szCs w:val="24"/>
        </w:rPr>
        <w:t xml:space="preserve"> </w:t>
      </w:r>
      <w:proofErr w:type="spellStart"/>
      <w:r w:rsidRPr="00346CE4">
        <w:rPr>
          <w:sz w:val="24"/>
          <w:szCs w:val="24"/>
        </w:rPr>
        <w:t>naţional</w:t>
      </w:r>
      <w:proofErr w:type="spellEnd"/>
      <w:r w:rsidRPr="00346CE4">
        <w:rPr>
          <w:sz w:val="24"/>
          <w:szCs w:val="24"/>
        </w:rPr>
        <w:t xml:space="preserve"> pe care se bazează acest Program.</w:t>
      </w:r>
    </w:p>
    <w:p w:rsidR="00346CE4" w:rsidRPr="00346CE4" w:rsidRDefault="00346CE4" w:rsidP="00346CE4">
      <w:pPr>
        <w:tabs>
          <w:tab w:val="left" w:pos="0"/>
          <w:tab w:val="left" w:pos="993"/>
        </w:tabs>
        <w:rPr>
          <w:b/>
          <w:sz w:val="24"/>
          <w:szCs w:val="24"/>
        </w:rPr>
      </w:pPr>
      <w:r w:rsidRPr="00346CE4">
        <w:rPr>
          <w:b/>
          <w:sz w:val="24"/>
          <w:szCs w:val="24"/>
        </w:rPr>
        <w:t xml:space="preserve">1) La nivel </w:t>
      </w:r>
      <w:proofErr w:type="spellStart"/>
      <w:r w:rsidRPr="00346CE4">
        <w:rPr>
          <w:b/>
          <w:sz w:val="24"/>
          <w:szCs w:val="24"/>
        </w:rPr>
        <w:t>internaţional</w:t>
      </w:r>
      <w:proofErr w:type="spellEnd"/>
      <w:r w:rsidRPr="00346CE4">
        <w:rPr>
          <w:b/>
          <w:sz w:val="24"/>
          <w:szCs w:val="24"/>
        </w:rPr>
        <w:t xml:space="preserve"> (UIT):</w:t>
      </w:r>
    </w:p>
    <w:p w:rsidR="00346CE4" w:rsidRPr="00346CE4" w:rsidRDefault="00346CE4" w:rsidP="00346CE4">
      <w:pPr>
        <w:tabs>
          <w:tab w:val="left" w:pos="0"/>
          <w:tab w:val="left" w:pos="1134"/>
        </w:tabs>
        <w:ind w:firstLine="0"/>
        <w:rPr>
          <w:b/>
          <w:i/>
          <w:sz w:val="24"/>
          <w:szCs w:val="24"/>
        </w:rPr>
      </w:pPr>
      <w:r w:rsidRPr="00346CE4">
        <w:rPr>
          <w:sz w:val="24"/>
          <w:szCs w:val="24"/>
        </w:rPr>
        <w:t xml:space="preserve">Regulamentul </w:t>
      </w:r>
      <w:proofErr w:type="spellStart"/>
      <w:r w:rsidRPr="00346CE4">
        <w:rPr>
          <w:sz w:val="24"/>
          <w:szCs w:val="24"/>
        </w:rPr>
        <w:t>radiocomunicaţiilor</w:t>
      </w:r>
      <w:proofErr w:type="spellEnd"/>
      <w:r w:rsidRPr="00346CE4">
        <w:rPr>
          <w:sz w:val="24"/>
          <w:szCs w:val="24"/>
        </w:rPr>
        <w:t xml:space="preserve"> al Uniunii Internaționale a Telecomunicațiilor, ultima revizuire de către CMR-19 (</w:t>
      </w:r>
      <w:proofErr w:type="spellStart"/>
      <w:r w:rsidRPr="00346CE4">
        <w:rPr>
          <w:sz w:val="24"/>
          <w:szCs w:val="24"/>
        </w:rPr>
        <w:t>ediţia</w:t>
      </w:r>
      <w:proofErr w:type="spellEnd"/>
      <w:r w:rsidRPr="00346CE4">
        <w:rPr>
          <w:sz w:val="24"/>
          <w:szCs w:val="24"/>
        </w:rPr>
        <w:t xml:space="preserve"> 2020).</w:t>
      </w:r>
    </w:p>
    <w:p w:rsidR="00346CE4" w:rsidRPr="00346CE4" w:rsidRDefault="00346CE4" w:rsidP="00346CE4">
      <w:pPr>
        <w:tabs>
          <w:tab w:val="left" w:pos="0"/>
          <w:tab w:val="left" w:pos="1134"/>
        </w:tabs>
        <w:rPr>
          <w:b/>
          <w:sz w:val="24"/>
          <w:szCs w:val="24"/>
        </w:rPr>
      </w:pPr>
      <w:r w:rsidRPr="00346CE4">
        <w:rPr>
          <w:b/>
          <w:sz w:val="24"/>
          <w:szCs w:val="24"/>
        </w:rPr>
        <w:t>2) La nivelul Uniunii Europene:</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450 MHz</w:t>
      </w:r>
    </w:p>
    <w:p w:rsidR="00346CE4" w:rsidRPr="00346CE4" w:rsidRDefault="00346CE4" w:rsidP="00346CE4">
      <w:pPr>
        <w:tabs>
          <w:tab w:val="left" w:pos="0"/>
        </w:tabs>
        <w:rPr>
          <w:sz w:val="24"/>
          <w:szCs w:val="24"/>
        </w:rPr>
      </w:pPr>
      <w:r w:rsidRPr="00346CE4">
        <w:rPr>
          <w:sz w:val="24"/>
          <w:szCs w:val="24"/>
        </w:rPr>
        <w:t>În momentul de față la nivelul UE nu a fost identificat un act normativ ce ar desemna banda 450 MHz pentru implementarea unui anumit tip de rețele;</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700 MHz</w:t>
      </w:r>
    </w:p>
    <w:p w:rsidR="00346CE4" w:rsidRPr="00346CE4" w:rsidRDefault="00346CE4" w:rsidP="00346CE4">
      <w:pPr>
        <w:tabs>
          <w:tab w:val="left" w:pos="0"/>
        </w:tabs>
        <w:rPr>
          <w:sz w:val="24"/>
          <w:szCs w:val="24"/>
        </w:rPr>
      </w:pPr>
      <w:r w:rsidRPr="00346CE4">
        <w:rPr>
          <w:sz w:val="24"/>
          <w:szCs w:val="24"/>
        </w:rPr>
        <w:t>Decizia Parlamentului European și a Consiliului (UE) 2017/899 privind utilizarea benzii de frecvențe 470-790 MHz în Uniune;</w:t>
      </w:r>
    </w:p>
    <w:p w:rsidR="00346CE4" w:rsidRPr="00346CE4" w:rsidRDefault="00346CE4" w:rsidP="00346CE4">
      <w:pPr>
        <w:tabs>
          <w:tab w:val="left" w:pos="0"/>
        </w:tabs>
        <w:rPr>
          <w:sz w:val="24"/>
          <w:szCs w:val="24"/>
        </w:rPr>
      </w:pPr>
      <w:r w:rsidRPr="00346CE4">
        <w:rPr>
          <w:sz w:val="24"/>
          <w:szCs w:val="24"/>
        </w:rPr>
        <w:t>Decizia Comisiei Europene (UE) 2016/687 privind armonizarea benzii de frecvențe 694-790 MHz pentru sisteme terestre capabile să furnizeze servicii de comunicații electronice de bandă largă și pentru o utilizare națională flexibilă în Uniune;</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1500 MHz</w:t>
      </w:r>
    </w:p>
    <w:p w:rsidR="00346CE4" w:rsidRPr="00346CE4" w:rsidRDefault="00346CE4" w:rsidP="00346CE4">
      <w:pPr>
        <w:tabs>
          <w:tab w:val="left" w:pos="0"/>
          <w:tab w:val="left" w:pos="426"/>
          <w:tab w:val="left" w:pos="1134"/>
        </w:tabs>
        <w:rPr>
          <w:sz w:val="24"/>
          <w:szCs w:val="24"/>
        </w:rPr>
      </w:pPr>
      <w:r w:rsidRPr="00346CE4">
        <w:rPr>
          <w:sz w:val="24"/>
          <w:szCs w:val="24"/>
        </w:rPr>
        <w:t>Decizia de punere în aplicare (UE) 2018/661 a Comisiei din 26 aprilie 2018 de modificare a Deciziei de punere în aplicare (UE) 2015/750 privind armonizarea benzii de frecvențe 1452-1492 MHz pentru sistemele terestre capabile să furnizeze servicii de comunicații electronice în Uniune, în sensul extinderii acesteia la benzile de frecvențe armonizate de 1427-1452 MHz și 1492-1517 MHz;</w:t>
      </w:r>
    </w:p>
    <w:p w:rsidR="00346CE4" w:rsidRPr="00346CE4" w:rsidRDefault="00346CE4" w:rsidP="00346CE4">
      <w:pPr>
        <w:numPr>
          <w:ilvl w:val="0"/>
          <w:numId w:val="4"/>
        </w:numPr>
        <w:tabs>
          <w:tab w:val="left" w:pos="0"/>
          <w:tab w:val="left" w:pos="426"/>
          <w:tab w:val="left" w:pos="1134"/>
        </w:tabs>
        <w:ind w:left="0" w:firstLine="709"/>
        <w:rPr>
          <w:b/>
          <w:bCs/>
          <w:sz w:val="24"/>
          <w:szCs w:val="24"/>
        </w:rPr>
      </w:pPr>
      <w:r w:rsidRPr="00346CE4">
        <w:rPr>
          <w:b/>
          <w:sz w:val="24"/>
          <w:szCs w:val="24"/>
        </w:rPr>
        <w:t>Banda de frecvențe 2 GHz</w:t>
      </w:r>
    </w:p>
    <w:p w:rsidR="00346CE4" w:rsidRPr="00346CE4" w:rsidRDefault="00346CE4" w:rsidP="00346CE4">
      <w:pPr>
        <w:tabs>
          <w:tab w:val="left" w:pos="0"/>
        </w:tabs>
        <w:rPr>
          <w:sz w:val="24"/>
          <w:szCs w:val="24"/>
        </w:rPr>
      </w:pPr>
      <w:r w:rsidRPr="00346CE4">
        <w:rPr>
          <w:sz w:val="24"/>
          <w:szCs w:val="24"/>
        </w:rPr>
        <w:t>Decizia Comisiei Europene 2007/98/CE din 14 februarie 2007 privind utilizarea armonizată a spectrului radio pentru benzile de frecvență de 2 GHz în vederea punerii în aplicare a sistemelor care furnizează servicii mobile prin satelit;</w:t>
      </w:r>
    </w:p>
    <w:p w:rsidR="00346CE4" w:rsidRPr="00346CE4" w:rsidRDefault="00346CE4" w:rsidP="00346CE4">
      <w:pPr>
        <w:tabs>
          <w:tab w:val="left" w:pos="0"/>
        </w:tabs>
        <w:rPr>
          <w:bCs/>
          <w:sz w:val="24"/>
          <w:szCs w:val="24"/>
        </w:rPr>
      </w:pPr>
      <w:r w:rsidRPr="00346CE4">
        <w:rPr>
          <w:sz w:val="24"/>
          <w:szCs w:val="24"/>
        </w:rPr>
        <w:t>Decizia Comisiei Europene 2009/449/CE din 13 mai 2009 privind selectarea furnizorilor de sisteme paneuropene care furnizează servicii mobile prin satelit (MSS);</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lastRenderedPageBreak/>
        <w:t>Banda de frecvențe 2100 MHz</w:t>
      </w:r>
    </w:p>
    <w:p w:rsidR="00346CE4" w:rsidRPr="00346CE4" w:rsidRDefault="00346CE4" w:rsidP="00346CE4">
      <w:pPr>
        <w:tabs>
          <w:tab w:val="left" w:pos="0"/>
        </w:tabs>
        <w:rPr>
          <w:sz w:val="24"/>
          <w:szCs w:val="24"/>
        </w:rPr>
      </w:pPr>
      <w:r w:rsidRPr="00346CE4">
        <w:rPr>
          <w:sz w:val="24"/>
          <w:szCs w:val="24"/>
        </w:rPr>
        <w:t>Decizia de punere în aplicare (UE) 2020/667 a Comisiei din 6 mai 2020 de modificare a Deciziei 2012/688/UE în ceea ce privește o actualizare a condițiilor tehnice relevante aplicabile benzilor de frecvențe de 1920-1980 MHz și 2110-2170 MHz;</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2300 MHz</w:t>
      </w:r>
    </w:p>
    <w:p w:rsidR="00346CE4" w:rsidRPr="00346CE4" w:rsidRDefault="00346CE4" w:rsidP="00346CE4">
      <w:pPr>
        <w:tabs>
          <w:tab w:val="left" w:pos="0"/>
        </w:tabs>
        <w:rPr>
          <w:bCs/>
          <w:sz w:val="24"/>
          <w:szCs w:val="24"/>
        </w:rPr>
      </w:pPr>
      <w:r w:rsidRPr="00346CE4">
        <w:rPr>
          <w:bCs/>
          <w:sz w:val="24"/>
          <w:szCs w:val="24"/>
        </w:rPr>
        <w:t>Decizia Comisiei 2007/131/CE din 21 februarie 2007 privind autorizarea utilizării spectrului radio pentru echipamentele care utilizează tehnologie cu bandă ultralargă într-un mod armonizat în Comunitate;</w:t>
      </w:r>
    </w:p>
    <w:p w:rsidR="00346CE4" w:rsidRPr="00346CE4" w:rsidRDefault="00346CE4" w:rsidP="00346CE4">
      <w:pPr>
        <w:tabs>
          <w:tab w:val="left" w:pos="0"/>
        </w:tabs>
        <w:rPr>
          <w:bCs/>
          <w:sz w:val="24"/>
          <w:szCs w:val="24"/>
        </w:rPr>
      </w:pPr>
      <w:r w:rsidRPr="00346CE4">
        <w:rPr>
          <w:bCs/>
          <w:sz w:val="24"/>
          <w:szCs w:val="24"/>
        </w:rPr>
        <w:t>Decizia Comisiei 2009/343/CE din 21 aprilie 2009 de modificare a Deciziei 2007/131/CE privind autorizarea utilizării spectrului radio pentru echipamente care utilizează tehnologie cu bandă ultralargă;</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2600 MHz</w:t>
      </w:r>
    </w:p>
    <w:p w:rsidR="00346CE4" w:rsidRPr="00346CE4" w:rsidRDefault="00346CE4" w:rsidP="00346CE4">
      <w:pPr>
        <w:tabs>
          <w:tab w:val="left" w:pos="0"/>
        </w:tabs>
        <w:rPr>
          <w:sz w:val="24"/>
          <w:szCs w:val="24"/>
        </w:rPr>
      </w:pPr>
      <w:r w:rsidRPr="00346CE4">
        <w:rPr>
          <w:sz w:val="24"/>
          <w:szCs w:val="24"/>
        </w:rPr>
        <w:t xml:space="preserve">Decizia Comisiei Europene 2008/477/CE </w:t>
      </w:r>
      <w:r w:rsidRPr="00346CE4">
        <w:rPr>
          <w:sz w:val="24"/>
          <w:szCs w:val="24"/>
          <w:shd w:val="clear" w:color="auto" w:fill="FFFFFF"/>
        </w:rPr>
        <w:t xml:space="preserve">din 13 iunie 2008 </w:t>
      </w:r>
      <w:r w:rsidRPr="00346CE4">
        <w:rPr>
          <w:sz w:val="24"/>
          <w:szCs w:val="24"/>
        </w:rPr>
        <w:t>privind armonizarea benzii de frecvențe 2500-2690 MHz pentru sistemele terestre capabile să furnizeze servicii de comunicații electronice în cadrul Comunității;</w:t>
      </w:r>
    </w:p>
    <w:p w:rsidR="00346CE4" w:rsidRPr="00346CE4" w:rsidRDefault="00346CE4" w:rsidP="00346CE4">
      <w:pPr>
        <w:tabs>
          <w:tab w:val="left" w:pos="0"/>
        </w:tabs>
        <w:rPr>
          <w:sz w:val="24"/>
          <w:szCs w:val="24"/>
        </w:rPr>
      </w:pPr>
      <w:r w:rsidRPr="00346CE4">
        <w:rPr>
          <w:sz w:val="24"/>
          <w:szCs w:val="24"/>
        </w:rPr>
        <w:t>Decizia de punere în aplicare (UE) 2020/636 a Comisiei din 8 mai 2020 de modificare a Deciziei 2008/477/CE în ceea ce privește o actualizare a condițiilor tehnice relevante aplicabile benzii de frecvențe de 2 500-2 690 MHz;</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3600 MHz</w:t>
      </w:r>
    </w:p>
    <w:p w:rsidR="00346CE4" w:rsidRPr="00346CE4" w:rsidRDefault="00346CE4" w:rsidP="00346CE4">
      <w:pPr>
        <w:tabs>
          <w:tab w:val="left" w:pos="0"/>
        </w:tabs>
        <w:rPr>
          <w:sz w:val="24"/>
          <w:szCs w:val="24"/>
          <w:shd w:val="clear" w:color="auto" w:fill="FFFFFF"/>
        </w:rPr>
      </w:pPr>
      <w:r w:rsidRPr="00346CE4">
        <w:rPr>
          <w:sz w:val="24"/>
          <w:szCs w:val="24"/>
        </w:rPr>
        <w:t>Decizia Comisiei Europene 2008/411/CE din 21 mai 2008 privind armonizarea benzii de frecvențe 3400-3800 MHz pentru sisteme terestre capabile să furnizeze servicii de comunicații electronice în cadrul Comunității, cu modificările ulterioare operate prin Decizia Comisiei Europene 2014/276/UE din 2 mai 2014 și Decizia Comisiei Europene (UE) 2019/235 de modificare a Deciziei 2008/411/CE în ceea ce privește o actualizare a condițiilor tehnice relevante aplicabile benzii de frecvențe 3400-3800 MHz</w:t>
      </w:r>
      <w:r w:rsidRPr="00346CE4">
        <w:rPr>
          <w:sz w:val="24"/>
          <w:szCs w:val="24"/>
          <w:shd w:val="clear" w:color="auto" w:fill="FFFFFF"/>
        </w:rPr>
        <w:t>;</w:t>
      </w:r>
    </w:p>
    <w:p w:rsidR="00346CE4" w:rsidRPr="00346CE4" w:rsidRDefault="00346CE4" w:rsidP="00346CE4">
      <w:pPr>
        <w:numPr>
          <w:ilvl w:val="0"/>
          <w:numId w:val="4"/>
        </w:numPr>
        <w:tabs>
          <w:tab w:val="left" w:pos="0"/>
          <w:tab w:val="left" w:pos="1134"/>
        </w:tabs>
        <w:ind w:left="0" w:firstLine="709"/>
        <w:rPr>
          <w:b/>
          <w:sz w:val="24"/>
          <w:szCs w:val="24"/>
        </w:rPr>
      </w:pPr>
      <w:r w:rsidRPr="00346CE4">
        <w:rPr>
          <w:b/>
          <w:sz w:val="24"/>
          <w:szCs w:val="24"/>
        </w:rPr>
        <w:t>Banda de frecvențe 26 GHz</w:t>
      </w:r>
    </w:p>
    <w:p w:rsidR="00346CE4" w:rsidRPr="00346CE4" w:rsidRDefault="00346CE4" w:rsidP="00346CE4">
      <w:pPr>
        <w:tabs>
          <w:tab w:val="left" w:pos="0"/>
        </w:tabs>
        <w:rPr>
          <w:sz w:val="24"/>
          <w:szCs w:val="24"/>
        </w:rPr>
      </w:pPr>
      <w:r w:rsidRPr="00346CE4">
        <w:rPr>
          <w:sz w:val="24"/>
          <w:szCs w:val="24"/>
        </w:rPr>
        <w:t>Decizia Comisiei Europene (UE) 2019/784 din 14 mai 2019 privind armonizarea benzii de frecvențe 24,25-27,5 GHz pentru sistemele terestre capabile să furnizeze servicii de comunicații electronice în cadrul UE;</w:t>
      </w:r>
    </w:p>
    <w:p w:rsidR="00346CE4" w:rsidRPr="00346CE4" w:rsidRDefault="00346CE4" w:rsidP="00346CE4">
      <w:pPr>
        <w:tabs>
          <w:tab w:val="left" w:pos="0"/>
        </w:tabs>
        <w:rPr>
          <w:sz w:val="24"/>
          <w:szCs w:val="24"/>
          <w:shd w:val="clear" w:color="auto" w:fill="FFFFFF"/>
        </w:rPr>
      </w:pPr>
      <w:r w:rsidRPr="00346CE4">
        <w:rPr>
          <w:sz w:val="24"/>
          <w:szCs w:val="24"/>
        </w:rPr>
        <w:t xml:space="preserve">Decizia Comisiei Europene (UE) </w:t>
      </w:r>
      <w:hyperlink r:id="rId7" w:history="1">
        <w:r w:rsidRPr="00346CE4">
          <w:rPr>
            <w:rStyle w:val="af3"/>
            <w:sz w:val="24"/>
            <w:szCs w:val="24"/>
          </w:rPr>
          <w:t>2020/590</w:t>
        </w:r>
      </w:hyperlink>
      <w:r w:rsidRPr="00346CE4">
        <w:rPr>
          <w:sz w:val="24"/>
          <w:szCs w:val="24"/>
        </w:rPr>
        <w:t xml:space="preserve"> din 24 aprilie 2020 de modificare a Deciziei (EU) 2019/784 în ceea ce privește o actualizare a condițiilor tehnice relevante aplicabile benzii de frecvențe 24,25-27,5 GHz.</w:t>
      </w:r>
    </w:p>
    <w:p w:rsidR="00346CE4" w:rsidRPr="00346CE4" w:rsidRDefault="00346CE4" w:rsidP="00346CE4">
      <w:pPr>
        <w:tabs>
          <w:tab w:val="left" w:pos="0"/>
        </w:tabs>
        <w:rPr>
          <w:b/>
          <w:bCs/>
          <w:sz w:val="24"/>
          <w:szCs w:val="24"/>
        </w:rPr>
      </w:pPr>
      <w:r w:rsidRPr="00346CE4">
        <w:rPr>
          <w:b/>
          <w:bCs/>
          <w:sz w:val="24"/>
          <w:szCs w:val="24"/>
        </w:rPr>
        <w:t>3) La nivel regional (CEPT):</w:t>
      </w:r>
    </w:p>
    <w:p w:rsidR="00346CE4" w:rsidRPr="00346CE4" w:rsidRDefault="00346CE4" w:rsidP="00346CE4">
      <w:pPr>
        <w:numPr>
          <w:ilvl w:val="0"/>
          <w:numId w:val="3"/>
        </w:numPr>
        <w:tabs>
          <w:tab w:val="left" w:pos="0"/>
          <w:tab w:val="left" w:pos="1134"/>
        </w:tabs>
        <w:ind w:left="0" w:firstLine="709"/>
        <w:rPr>
          <w:b/>
          <w:bCs/>
          <w:sz w:val="24"/>
          <w:szCs w:val="24"/>
        </w:rPr>
      </w:pPr>
      <w:r w:rsidRPr="00346CE4">
        <w:rPr>
          <w:b/>
          <w:bCs/>
          <w:sz w:val="24"/>
          <w:szCs w:val="24"/>
        </w:rPr>
        <w:t>Banda 450 MHz</w:t>
      </w:r>
    </w:p>
    <w:p w:rsidR="00346CE4" w:rsidRPr="00346CE4" w:rsidRDefault="00346CE4" w:rsidP="00346CE4">
      <w:pPr>
        <w:tabs>
          <w:tab w:val="left" w:pos="0"/>
        </w:tabs>
        <w:rPr>
          <w:sz w:val="24"/>
          <w:szCs w:val="24"/>
        </w:rPr>
      </w:pPr>
      <w:r w:rsidRPr="00346CE4">
        <w:rPr>
          <w:bCs/>
          <w:sz w:val="24"/>
          <w:szCs w:val="24"/>
        </w:rPr>
        <w:t>Decizia ECC/DEC(19)02 din 8 martie 2019 privind sistemele mobile terestre în benzile de frecvențe</w:t>
      </w:r>
      <w:r w:rsidRPr="00346CE4">
        <w:rPr>
          <w:sz w:val="24"/>
          <w:szCs w:val="24"/>
        </w:rPr>
        <w:t xml:space="preserve"> 68-87,5 MHz, 146-174 MHz, 406,1-410 MHz, 410-430 MHz, 440-450 MHz și 450-470 MHz;</w:t>
      </w:r>
    </w:p>
    <w:p w:rsidR="00346CE4" w:rsidRPr="00346CE4" w:rsidRDefault="00346CE4" w:rsidP="00346CE4">
      <w:pPr>
        <w:tabs>
          <w:tab w:val="left" w:pos="0"/>
        </w:tabs>
        <w:rPr>
          <w:b/>
          <w:bCs/>
          <w:sz w:val="24"/>
          <w:szCs w:val="24"/>
        </w:rPr>
      </w:pPr>
      <w:r w:rsidRPr="00346CE4">
        <w:rPr>
          <w:sz w:val="24"/>
          <w:szCs w:val="24"/>
        </w:rPr>
        <w:t>Recomandarea T/R 25-08 din 30 mai 2008 privind criteriile de planificare și coordonare transfrontalieră ale frecvențelor din cadrul serviciului mobil terestru în diapazonul 29,7-470 MHz, ultimul amendament din 28 septembrie 2018;</w:t>
      </w:r>
    </w:p>
    <w:p w:rsidR="00346CE4" w:rsidRPr="00346CE4" w:rsidRDefault="00346CE4" w:rsidP="00346CE4">
      <w:pPr>
        <w:numPr>
          <w:ilvl w:val="0"/>
          <w:numId w:val="3"/>
        </w:numPr>
        <w:tabs>
          <w:tab w:val="left" w:pos="0"/>
          <w:tab w:val="left" w:pos="1134"/>
        </w:tabs>
        <w:autoSpaceDE w:val="0"/>
        <w:autoSpaceDN w:val="0"/>
        <w:adjustRightInd w:val="0"/>
        <w:ind w:left="0" w:firstLine="709"/>
        <w:rPr>
          <w:b/>
          <w:bCs/>
          <w:sz w:val="24"/>
          <w:szCs w:val="24"/>
        </w:rPr>
      </w:pPr>
      <w:r w:rsidRPr="00346CE4">
        <w:rPr>
          <w:b/>
          <w:bCs/>
          <w:sz w:val="24"/>
          <w:szCs w:val="24"/>
        </w:rPr>
        <w:t>Banda 700 MHz</w:t>
      </w:r>
    </w:p>
    <w:p w:rsidR="00346CE4" w:rsidRPr="00346CE4" w:rsidRDefault="00346CE4" w:rsidP="00346CE4">
      <w:pPr>
        <w:tabs>
          <w:tab w:val="left" w:pos="0"/>
        </w:tabs>
        <w:autoSpaceDE w:val="0"/>
        <w:autoSpaceDN w:val="0"/>
        <w:adjustRightInd w:val="0"/>
        <w:rPr>
          <w:sz w:val="24"/>
          <w:szCs w:val="24"/>
        </w:rPr>
      </w:pPr>
      <w:r w:rsidRPr="00346CE4">
        <w:rPr>
          <w:sz w:val="24"/>
          <w:szCs w:val="24"/>
        </w:rPr>
        <w:t xml:space="preserve">Decizia ECC/DEC/(15)01: Condițiile tehnice armonizate pentru rețele de comunicații mobile/fixe (MFCN) în banda de frecvențe 694-790 MHz incluzând un aranjament de frecvențe pereche (2x30 MHz FDD) și un aranjament de frecvențe nepereche (legătura </w:t>
      </w:r>
      <w:proofErr w:type="spellStart"/>
      <w:r w:rsidRPr="00346CE4">
        <w:rPr>
          <w:sz w:val="24"/>
          <w:szCs w:val="24"/>
        </w:rPr>
        <w:t>downlink</w:t>
      </w:r>
      <w:proofErr w:type="spellEnd"/>
      <w:r w:rsidRPr="00346CE4">
        <w:rPr>
          <w:sz w:val="24"/>
          <w:szCs w:val="24"/>
        </w:rPr>
        <w:t xml:space="preserve"> suplimentară), aprobată în data de 6 martie 2015;</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ECC/REC/(15)01: Coordonarea transfrontalieră pentru rețele mobile/fixe de comunicații (MFCN) în benzile de frecvențe: 694-790 MHz, 1452-1492 MHz, 3400-3600 MHz și 3600-3800 MHz (aprobată în data de 13 februarie 2015, modificată în 5 februarie 2016);</w:t>
      </w:r>
    </w:p>
    <w:p w:rsidR="00346CE4" w:rsidRPr="00346CE4" w:rsidRDefault="00346CE4" w:rsidP="00346CE4">
      <w:pPr>
        <w:tabs>
          <w:tab w:val="left" w:pos="0"/>
        </w:tabs>
        <w:autoSpaceDE w:val="0"/>
        <w:autoSpaceDN w:val="0"/>
        <w:adjustRightInd w:val="0"/>
        <w:rPr>
          <w:sz w:val="24"/>
          <w:szCs w:val="24"/>
        </w:rPr>
      </w:pPr>
      <w:r w:rsidRPr="00346CE4">
        <w:rPr>
          <w:sz w:val="24"/>
          <w:szCs w:val="24"/>
        </w:rPr>
        <w:t xml:space="preserve">Raportul CEPT 53: Raportul A din partea CEPT către Comisia Europeană ca răspuns la Mandatul „de a dezvolta condiții tehnice armonizate pentru banda de frecvențe 694-790 MHz </w:t>
      </w:r>
      <w:r w:rsidRPr="00346CE4">
        <w:rPr>
          <w:sz w:val="24"/>
          <w:szCs w:val="24"/>
        </w:rPr>
        <w:lastRenderedPageBreak/>
        <w:t>(700 MHz) în Uniunea Europeană pentru furnizarea de servicii de comunicații pe suport radio de bandă largă și alte utilizări în sprijinul obiectivelor politicii de spectru a UE”, aprobat la 28 noiembrie 2014 de către ECC;</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60: Raportul B din partea CEPT către Comisia Europeană ca răspuns la Mandatul „de a dezvolta condiții tehnice armonizate pentru banda de frecvențe 694-790 MHz (700 MHz) în Uniunea Europeană pentru furnizarea de servicii de comunicații pe suport radio de bandă largă și alte utilizări în sprijinul obiectivelor politicii de spectru ale UE”, aprobat la 1 martie 2016 de către ECC;</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29: Raport din partea CEPT către Comisia Europeană ca răspuns la Mandatul privind „considerațiile tehnice privind opțiunile de armonizare pentru dividendul digital în Uniunea Europeană” – „Îndrumări privind problemele de coordonare transfrontalieră între serviciile mobile dintr-o țară și serviciile de radiodifuziune dintr-o altă țară” (adoptarea metodologiei) (Raportul final din 26 iunie 2009);</w:t>
      </w:r>
    </w:p>
    <w:p w:rsidR="00346CE4" w:rsidRPr="00346CE4" w:rsidRDefault="00346CE4" w:rsidP="00346CE4">
      <w:pPr>
        <w:numPr>
          <w:ilvl w:val="0"/>
          <w:numId w:val="3"/>
        </w:numPr>
        <w:tabs>
          <w:tab w:val="left" w:pos="0"/>
          <w:tab w:val="left" w:pos="1134"/>
        </w:tabs>
        <w:autoSpaceDE w:val="0"/>
        <w:autoSpaceDN w:val="0"/>
        <w:adjustRightInd w:val="0"/>
        <w:ind w:left="0" w:firstLine="709"/>
        <w:rPr>
          <w:b/>
          <w:sz w:val="24"/>
          <w:szCs w:val="24"/>
        </w:rPr>
      </w:pPr>
      <w:r w:rsidRPr="00346CE4">
        <w:rPr>
          <w:b/>
          <w:sz w:val="24"/>
          <w:szCs w:val="24"/>
        </w:rPr>
        <w:t>Banda 1500 MHz</w:t>
      </w:r>
    </w:p>
    <w:p w:rsidR="00346CE4" w:rsidRPr="00346CE4" w:rsidRDefault="00346CE4" w:rsidP="00346CE4">
      <w:pPr>
        <w:tabs>
          <w:tab w:val="left" w:pos="0"/>
        </w:tabs>
        <w:autoSpaceDE w:val="0"/>
        <w:autoSpaceDN w:val="0"/>
        <w:adjustRightInd w:val="0"/>
        <w:rPr>
          <w:sz w:val="24"/>
          <w:szCs w:val="24"/>
        </w:rPr>
      </w:pPr>
      <w:r w:rsidRPr="00346CE4">
        <w:rPr>
          <w:sz w:val="24"/>
          <w:szCs w:val="24"/>
        </w:rPr>
        <w:t xml:space="preserve">Decizia ECC/DEC/(13)03 privind utilizarea armonizată a benzii 1452-1492 MHz pentru legătura descendentă suplimentară a rețelelor de comunicații mobile/fixe (MFCN-SDL), aprobată în noiembrie 2013, modificată la 2 martie 2018; </w:t>
      </w:r>
    </w:p>
    <w:p w:rsidR="00346CE4" w:rsidRPr="00346CE4" w:rsidRDefault="00346CE4" w:rsidP="00346CE4">
      <w:pPr>
        <w:tabs>
          <w:tab w:val="left" w:pos="0"/>
        </w:tabs>
        <w:autoSpaceDE w:val="0"/>
        <w:autoSpaceDN w:val="0"/>
        <w:adjustRightInd w:val="0"/>
        <w:rPr>
          <w:sz w:val="24"/>
          <w:szCs w:val="24"/>
        </w:rPr>
      </w:pPr>
      <w:r w:rsidRPr="00346CE4">
        <w:rPr>
          <w:sz w:val="24"/>
          <w:szCs w:val="24"/>
        </w:rPr>
        <w:t>Decizia ECC/DEC/(17)06 din 17 noiembrie 2017 privind utilizarea armonizată a benzilor de frecvențe 1427-1452 MHz și 1492-1518 MHz pentru rețelele de comunicații mobile/fixe de legătură descendentă (MFCN SDL);</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ECC/REC/(15)01: Coordonarea transfrontalieră pentru rețele mobile/fixe de comunicații (MFCN) în benzile de frecvențe 694-790 MHz, 1452-1492 MHz, 3400-3600 MHz și 3600-3800 MHz (aprobată în data de 13 februarie 2015, modificată la 5 februarie 2016);</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202: Limitele emisiilor în afara benzii pentru legătura descendentă suplimentară (SDL) a rețelelor de comunicații mobile/fixe (MFCN) care funcționează în banda 1452-1492 MHz (aprobat în septembrie 2013);</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227: Studii de compatibilitate pentru legătura descendentă suplimentară (SDL) a rețelelor de comunicații mobile/fixe (MFCN) care funcționează în banda 1452-1492 MHz (aprobat în ianuarie 2015);</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269: Cele mai puțin restrictive condiții tehnice pentru rețele de comunicații mobile/fixe în banda 1427-1518 MHz (aprobat în data de 17 noiembrie 2017, corectat în 2 martie 2018);</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54 – Raportul din partea CEPT către Comisia Europeană ca răspuns la Mandatul „de a dezvolta condiții tehnice armonizate în banda de frecvențe 1452-1492 MHz pentru servicii de comunicații electronice pe suport radio de bandă largă în Uniunea Europeană” (aprobat la 28 noiembrie 2014 de către ECC);</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295: Îndrumări privind coordonarea transfrontalieră dintre MFCN și sistemele de telemetrie aeronautică în banda 1429-1518 MHz (aprobat în data de 8 martie 2019);</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ECC/REC/(15)01 privind coordonarea transfrontalieră pentru rețele de comunicații mobile/fixe (MFCN) în benzile de frecvențe 694-790 MHz, 1452-1492 MHz, 3400-3600 MHz și 3600-3800 MHz (aprobată la 13 februarie 2015, modificată în 5 februarie 2016);</w:t>
      </w:r>
    </w:p>
    <w:p w:rsidR="00346CE4" w:rsidRPr="00346CE4" w:rsidRDefault="00346CE4" w:rsidP="00346CE4">
      <w:pPr>
        <w:tabs>
          <w:tab w:val="left" w:pos="0"/>
        </w:tabs>
        <w:autoSpaceDE w:val="0"/>
        <w:autoSpaceDN w:val="0"/>
        <w:adjustRightInd w:val="0"/>
        <w:rPr>
          <w:sz w:val="24"/>
          <w:szCs w:val="24"/>
        </w:rPr>
      </w:pPr>
      <w:r w:rsidRPr="00346CE4">
        <w:rPr>
          <w:sz w:val="24"/>
          <w:szCs w:val="24"/>
        </w:rPr>
        <w:t>Aranjamentul de frecvențe armonizat și condițiile tehnice armonizate de utilizare a frecvențelor radio în banda de 1500 MHz pentru rețele MFCN, respectiv măștile de emisie față de marginea blocului (BEM) și puterea efectiv radiată izotrop (EIRP) maximă sunt cuprinse în anexa 2 a Deciziei ECC/DEC/(13)03;</w:t>
      </w:r>
    </w:p>
    <w:p w:rsidR="00346CE4" w:rsidRPr="00346CE4" w:rsidRDefault="00346CE4" w:rsidP="00346CE4">
      <w:pPr>
        <w:tabs>
          <w:tab w:val="left" w:pos="0"/>
        </w:tabs>
        <w:autoSpaceDE w:val="0"/>
        <w:autoSpaceDN w:val="0"/>
        <w:adjustRightInd w:val="0"/>
        <w:rPr>
          <w:b/>
          <w:sz w:val="24"/>
          <w:szCs w:val="24"/>
        </w:rPr>
      </w:pPr>
      <w:r w:rsidRPr="00346CE4">
        <w:rPr>
          <w:b/>
          <w:sz w:val="24"/>
          <w:szCs w:val="24"/>
        </w:rPr>
        <w:t>d) Banda 2 GHz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Decizia ECC/DEC/(06)09 din 1 decembrie 2006 privind desemnarea benzilor 1980-2010 MHz și 2170-2200 MHz pentru utilizarea de către sistemele din Serviciul Mobil-Satelit, inclusiv cele completate de o componentă la sol complementară (CGC);</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lastRenderedPageBreak/>
        <w:t>Raportul ECC 209: Studii de compatibilitate/partajare cu privire la comunicațiile în bandă largă (DA2GC-</w:t>
      </w:r>
      <w:r w:rsidRPr="00346CE4">
        <w:rPr>
          <w:sz w:val="24"/>
          <w:szCs w:val="24"/>
        </w:rPr>
        <w:t>Broadband Direct-Air-</w:t>
      </w:r>
      <w:proofErr w:type="spellStart"/>
      <w:r w:rsidRPr="00346CE4">
        <w:rPr>
          <w:sz w:val="24"/>
          <w:szCs w:val="24"/>
        </w:rPr>
        <w:t>to</w:t>
      </w:r>
      <w:proofErr w:type="spellEnd"/>
      <w:r w:rsidRPr="00346CE4">
        <w:rPr>
          <w:sz w:val="24"/>
          <w:szCs w:val="24"/>
        </w:rPr>
        <w:t>-</w:t>
      </w:r>
      <w:proofErr w:type="spellStart"/>
      <w:r w:rsidRPr="00346CE4">
        <w:rPr>
          <w:sz w:val="24"/>
          <w:szCs w:val="24"/>
        </w:rPr>
        <w:t>Ground</w:t>
      </w:r>
      <w:proofErr w:type="spellEnd"/>
      <w:r w:rsidRPr="00346CE4">
        <w:rPr>
          <w:sz w:val="24"/>
          <w:szCs w:val="24"/>
        </w:rPr>
        <w:t xml:space="preserve"> Communications</w:t>
      </w:r>
      <w:r w:rsidRPr="00346CE4">
        <w:rPr>
          <w:bCs/>
          <w:sz w:val="24"/>
          <w:szCs w:val="24"/>
        </w:rPr>
        <w:t>), în benzile de frecvențe 1900-1920 MHz/2010-2025 MHz și servicii/aplicații în benzile adiacente;</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Raportul ECC 233: Studii de compatibilitate a benzilor adiacente pentru sisteme CGC aeronautice care operează în benzile 1980-2010 MHz și 2170-2200 MHz;</w:t>
      </w:r>
    </w:p>
    <w:p w:rsidR="00346CE4" w:rsidRPr="00346CE4" w:rsidRDefault="00346CE4" w:rsidP="00346CE4">
      <w:pPr>
        <w:tabs>
          <w:tab w:val="left" w:pos="0"/>
        </w:tabs>
        <w:autoSpaceDE w:val="0"/>
        <w:autoSpaceDN w:val="0"/>
        <w:adjustRightInd w:val="0"/>
        <w:rPr>
          <w:b/>
          <w:sz w:val="24"/>
          <w:szCs w:val="24"/>
        </w:rPr>
      </w:pPr>
      <w:r w:rsidRPr="00346CE4">
        <w:rPr>
          <w:b/>
          <w:bCs/>
          <w:sz w:val="24"/>
          <w:szCs w:val="24"/>
        </w:rPr>
        <w:t>e</w:t>
      </w:r>
      <w:r w:rsidRPr="00346CE4">
        <w:rPr>
          <w:b/>
          <w:sz w:val="24"/>
          <w:szCs w:val="24"/>
        </w:rPr>
        <w:t>) Banda de frecvențe 2100 MHz</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ERC/REC/(01)01 din 2001 privind coordonarea transfrontalieră pentru rețelele de comunicații mobile/fixe (MFCN) în benzile de frecvențe: 1920-1980 MHz și 2110-2170 MHz, ulterior modificată la 5 februarie 2016;</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062: Studii de coexistență între UMTS și LTE maritim cu rețelele de comunicații electronice terestre care operează în benzile 1710-1785/ 1805-1880 MHz, 1920-1980/2110-2170 MHz și 2500-2570/2620-2690 MHz;</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266: Aplicabilitatea cadrului de reglementare ECC actual pentru utilizarea de bandă largă și banda îngustă M2M în benzile de frecvențe 700 MHz, 800 MHz, 900 MHz, 1800 MHz, 2,1 GHz și 2,6 GHz;</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298: Analiza aplicabilității și actualizarea condițiilor tehnice de reglementare pentru funcționarea 5G MFCN și AAS în banda 1920-1980 MHz și 2110-2170 MHz;</w:t>
      </w:r>
    </w:p>
    <w:p w:rsidR="00346CE4" w:rsidRPr="00346CE4" w:rsidRDefault="00346CE4" w:rsidP="00346CE4">
      <w:pPr>
        <w:tabs>
          <w:tab w:val="left" w:pos="0"/>
        </w:tabs>
        <w:autoSpaceDE w:val="0"/>
        <w:autoSpaceDN w:val="0"/>
        <w:adjustRightInd w:val="0"/>
        <w:rPr>
          <w:b/>
          <w:sz w:val="24"/>
          <w:szCs w:val="24"/>
        </w:rPr>
      </w:pPr>
      <w:r w:rsidRPr="00346CE4">
        <w:rPr>
          <w:b/>
          <w:sz w:val="24"/>
          <w:szCs w:val="24"/>
        </w:rPr>
        <w:t>f) Banda de frecvențe 2300 MHz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Decizia ECC/DEC/(14)02: Condiții tehnice și de reglementare armonizate pentru utilizarea benzii 2300-2400 MHz pentru rețelele de comunicații mobile/fixe (MFCN);</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Recomandarea ECC/REC/(14)04 din 25 iunie 2014 privind coordonarea transfrontalieră pentru rețelele de comunicații mobile/fixe (MFCN) și între MFCN și alte sisteme din banda de frecvențe 2300-2400 MHz;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Recomandarea ECC/REC/(15)04 din 3 iulie 2015 privind implementarea unui cadru de partajare între MFCN și PMSE în banda 2300-2400 MHz;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Raportul CEPT 055: Raportul A de la CEPT către Comisia Europeană ca răspuns la Mandatul privind „Condițiile tehnice armonizate pentru banda de frecvențe 2300-2400 MHz (2,3 GHz) în UE pentru furnizarea de servicii de comunicații electronice de bandă largă fără fir”. Condiții tehnice pentru utilizarea de bandă largă fără fir a benzii de frecvențe 2300-2400 MHz;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Raportul CEPT 056: Raportul B1 de la CEPT către Comisia Europeană, ca răspuns la Mandatul privind „Condițiile tehnice armonizate pentru banda de frecvențe 2300-2400 MHz (2,3 GHz) din UE pentru furnizarea de servicii de comunicații electronice de bandă largă fără fir”. Opțiuni tehnologice și de reglementare care facilitează partajarea dintre aplicațiile fără fir de bandă largă (WBB) și serviciile/aplicațiile relevante existente în banda de 2,3 GHz;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Raportul CEPT 058: Raport B2 de la CEPT către Comisia Europeană, ca răspuns la Mandatul privind „Condițiile tehnice armonizate pentru banda de frecvențe 2300-2400 MHz (2,3 GHz) în UE pentru furnizarea de servicii de comunicații electronice de bandă largă fără fir”. Soluții de partajare tehnică pentru utilizarea în comun a benzii 2300-2400 MHz pentru WBB și PMSE;</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Raportul ECC 172: Utilizarea sistemelor fără fir de bandă largă în 2300-2400 MHz;</w:t>
      </w:r>
    </w:p>
    <w:p w:rsidR="00346CE4" w:rsidRPr="00346CE4" w:rsidRDefault="00346CE4" w:rsidP="00346CE4">
      <w:pPr>
        <w:tabs>
          <w:tab w:val="left" w:pos="0"/>
        </w:tabs>
        <w:autoSpaceDE w:val="0"/>
        <w:autoSpaceDN w:val="0"/>
        <w:adjustRightInd w:val="0"/>
        <w:rPr>
          <w:bCs/>
          <w:sz w:val="24"/>
          <w:szCs w:val="24"/>
        </w:rPr>
      </w:pPr>
      <w:r w:rsidRPr="00346CE4">
        <w:rPr>
          <w:bCs/>
          <w:sz w:val="24"/>
          <w:szCs w:val="24"/>
        </w:rPr>
        <w:t>Raportul ECC 216 Ghid practic pentru sincronizarea rețelelor TDD;</w:t>
      </w:r>
    </w:p>
    <w:p w:rsidR="00346CE4" w:rsidRPr="00346CE4" w:rsidRDefault="00346CE4" w:rsidP="00346CE4">
      <w:pPr>
        <w:tabs>
          <w:tab w:val="left" w:pos="0"/>
        </w:tabs>
        <w:autoSpaceDE w:val="0"/>
        <w:autoSpaceDN w:val="0"/>
        <w:adjustRightInd w:val="0"/>
        <w:rPr>
          <w:b/>
          <w:bCs/>
          <w:sz w:val="24"/>
          <w:szCs w:val="24"/>
        </w:rPr>
      </w:pPr>
      <w:r w:rsidRPr="00346CE4">
        <w:rPr>
          <w:b/>
          <w:bCs/>
          <w:sz w:val="24"/>
          <w:szCs w:val="24"/>
        </w:rPr>
        <w:t>g) Banda 2600 MHz</w:t>
      </w:r>
    </w:p>
    <w:p w:rsidR="00346CE4" w:rsidRPr="00346CE4" w:rsidRDefault="00346CE4" w:rsidP="00346CE4">
      <w:pPr>
        <w:tabs>
          <w:tab w:val="left" w:pos="0"/>
        </w:tabs>
        <w:autoSpaceDE w:val="0"/>
        <w:autoSpaceDN w:val="0"/>
        <w:adjustRightInd w:val="0"/>
        <w:rPr>
          <w:sz w:val="24"/>
          <w:szCs w:val="24"/>
        </w:rPr>
      </w:pPr>
      <w:r w:rsidRPr="00346CE4">
        <w:rPr>
          <w:sz w:val="24"/>
          <w:szCs w:val="24"/>
        </w:rPr>
        <w:t>Decizia ECC/DEC/(05)05: Utilizarea armonizată a spectrului pentru rețele de comunicații mobile/fixe (MFCN) care funcționează în banda 2500-2690 MHz (aprobată la 18 martie 2005, modificată la 3 iulie 2019);</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ECC(11)05 privind coordonarea transfrontalieră pentru rețele de comunicații mobile/fixe (MFCN) în banda de frecvențe 2500-2690 MHz (aprobată la 26 mai 2011, modificată la 3 februarie 2017);</w:t>
      </w:r>
    </w:p>
    <w:p w:rsidR="00346CE4" w:rsidRPr="00346CE4" w:rsidRDefault="00346CE4" w:rsidP="00346CE4">
      <w:pPr>
        <w:tabs>
          <w:tab w:val="left" w:pos="0"/>
        </w:tabs>
        <w:autoSpaceDE w:val="0"/>
        <w:autoSpaceDN w:val="0"/>
        <w:adjustRightInd w:val="0"/>
        <w:rPr>
          <w:sz w:val="24"/>
          <w:szCs w:val="24"/>
        </w:rPr>
      </w:pPr>
      <w:r w:rsidRPr="00346CE4">
        <w:rPr>
          <w:sz w:val="24"/>
          <w:szCs w:val="24"/>
        </w:rPr>
        <w:lastRenderedPageBreak/>
        <w:t>Raportul ECC 045: Partajarea și compatibilitatea în banda adiacentă între UMTS/IMT-2000 în banda 2500-2690 MHz și alte servicii (februarie 2004);</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119: Coexistența între sisteme mobile în banda de frecvențe 2,6 GHz la limita între FDD/TDD (iunie 2008);</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019: Raport din partea CEPT către Comisia Europeană ca răspuns la Mandatul „de a dezvolta cele mai puțin restrictive condiții tehnice pentru benzile de frecvențe tratate în contextul WAPECS” (aprobat în decembrie 2007, revizuit în octombrie 2008).</w:t>
      </w:r>
    </w:p>
    <w:p w:rsidR="00346CE4" w:rsidRPr="00346CE4" w:rsidRDefault="00346CE4" w:rsidP="00346CE4">
      <w:pPr>
        <w:tabs>
          <w:tab w:val="left" w:pos="0"/>
        </w:tabs>
        <w:autoSpaceDE w:val="0"/>
        <w:autoSpaceDN w:val="0"/>
        <w:adjustRightInd w:val="0"/>
        <w:rPr>
          <w:sz w:val="24"/>
          <w:szCs w:val="24"/>
        </w:rPr>
      </w:pPr>
      <w:r w:rsidRPr="00346CE4">
        <w:rPr>
          <w:sz w:val="24"/>
          <w:szCs w:val="24"/>
        </w:rPr>
        <w:t>Aranjamentul de frecvențe armonizat și condițiile tehnice armonizate de utilizare a frecvențelor radio în banda de 2600 MHz pentru rețele MFCN, respectiv măștile de emisie la marginea blocului (BEM) pentru un bloc de 5 MHz sunt cuprinse în anexele 1 și 2 ale Deciziei ECC/DEC/(05)05;</w:t>
      </w:r>
    </w:p>
    <w:p w:rsidR="00346CE4" w:rsidRPr="00346CE4" w:rsidRDefault="00346CE4" w:rsidP="00346CE4">
      <w:pPr>
        <w:tabs>
          <w:tab w:val="left" w:pos="0"/>
        </w:tabs>
        <w:autoSpaceDE w:val="0"/>
        <w:autoSpaceDN w:val="0"/>
        <w:adjustRightInd w:val="0"/>
        <w:rPr>
          <w:b/>
          <w:sz w:val="24"/>
          <w:szCs w:val="24"/>
        </w:rPr>
      </w:pPr>
      <w:r w:rsidRPr="00346CE4">
        <w:rPr>
          <w:b/>
          <w:sz w:val="24"/>
          <w:szCs w:val="24"/>
        </w:rPr>
        <w:t>h) Banda 3600 MHz</w:t>
      </w:r>
    </w:p>
    <w:p w:rsidR="00346CE4" w:rsidRPr="00346CE4" w:rsidRDefault="00346CE4" w:rsidP="00346CE4">
      <w:pPr>
        <w:tabs>
          <w:tab w:val="left" w:pos="0"/>
        </w:tabs>
        <w:autoSpaceDE w:val="0"/>
        <w:autoSpaceDN w:val="0"/>
        <w:adjustRightInd w:val="0"/>
        <w:rPr>
          <w:sz w:val="24"/>
          <w:szCs w:val="24"/>
        </w:rPr>
      </w:pPr>
      <w:r w:rsidRPr="00346CE4">
        <w:rPr>
          <w:sz w:val="24"/>
          <w:szCs w:val="24"/>
        </w:rPr>
        <w:t>Decizia ECC/DEC/(11)06 privind aranjamentele armonizate de canale radio și condițiile tehnice minim restrictive pentru rețele de comunicații mobile/fixe (MFCN) operând în banda de frecvențe 3400-3800 MHz;</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ECC/REC/(15)01: Coordonarea transfrontalieră pentru rețele mobile/fixe de comunicații (MFCN) în benzile de frecvențe 694-790 MHz, 1452-1492 MHz, 3400-3600 MHz și 3600-3800 MHz (aprobată la 13 februarie 2015, modificată la 5 februarie 2016 și 14 februarie 2020);</w:t>
      </w:r>
    </w:p>
    <w:p w:rsidR="00346CE4" w:rsidRPr="00346CE4" w:rsidRDefault="00346CE4" w:rsidP="00346CE4">
      <w:pPr>
        <w:tabs>
          <w:tab w:val="left" w:pos="0"/>
        </w:tabs>
        <w:autoSpaceDE w:val="0"/>
        <w:autoSpaceDN w:val="0"/>
        <w:adjustRightInd w:val="0"/>
        <w:rPr>
          <w:i/>
          <w:sz w:val="24"/>
          <w:szCs w:val="24"/>
        </w:rPr>
      </w:pPr>
      <w:r w:rsidRPr="00346CE4">
        <w:rPr>
          <w:sz w:val="24"/>
          <w:szCs w:val="24"/>
        </w:rPr>
        <w:t>Recomandarea ECC/REC(20)03: Structurile de cadru pentru a facilita coordonarea transfrontalieră a TDD MFCN în banda de frecvențe 3400-3800 MHz;</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203: Cele mai puțin restrictive condiții tehnice pentru rețele de comunicații mobile/fixe, inclusiv IMT, în banda 3400-3600 MHz și 3600-3800 MHz (aprobat la 8 noiembrie 2013, corectat la 14 martie 2014);</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049: Raportul din partea CEPT către Comisia Europeană ca răspuns la Mandatul „Condiții tehnice armonizate pentru sisteme terestre de comunicații în banda de frecvențe 3400-3800 MHz” (aprobat la 8 noiembrie 2013, corectat la 14 martie 2014);</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216: Ghid practic pentru sincronizarea rețelelor TDD.</w:t>
      </w:r>
      <w:r w:rsidRPr="00346CE4">
        <w:rPr>
          <w:sz w:val="24"/>
          <w:szCs w:val="24"/>
        </w:rPr>
        <w:tab/>
        <w:t>Aranjamentul de frecvențe armonizat și condițiile tehnice armonizate de utilizare a frecvențelor radio în banda de 3400-3800 MHz pentru rețele MFCN, respectiv măștile de emisie la marginea blocului (BEM) sunt specificate în anexa 2 a Deciziei ECC/DEC/(11)06;</w:t>
      </w:r>
    </w:p>
    <w:p w:rsidR="00346CE4" w:rsidRPr="00346CE4" w:rsidRDefault="00346CE4" w:rsidP="00346CE4">
      <w:pPr>
        <w:tabs>
          <w:tab w:val="left" w:pos="0"/>
        </w:tabs>
        <w:autoSpaceDE w:val="0"/>
        <w:autoSpaceDN w:val="0"/>
        <w:adjustRightInd w:val="0"/>
        <w:ind w:firstLine="708"/>
        <w:rPr>
          <w:b/>
          <w:sz w:val="24"/>
          <w:szCs w:val="24"/>
        </w:rPr>
      </w:pPr>
      <w:r w:rsidRPr="00346CE4">
        <w:rPr>
          <w:b/>
          <w:sz w:val="24"/>
          <w:szCs w:val="24"/>
        </w:rPr>
        <w:t>i) Banda 26 GHz</w:t>
      </w:r>
    </w:p>
    <w:p w:rsidR="00346CE4" w:rsidRPr="00346CE4" w:rsidRDefault="00346CE4" w:rsidP="00346CE4">
      <w:pPr>
        <w:tabs>
          <w:tab w:val="left" w:pos="0"/>
        </w:tabs>
        <w:autoSpaceDE w:val="0"/>
        <w:autoSpaceDN w:val="0"/>
        <w:adjustRightInd w:val="0"/>
        <w:rPr>
          <w:sz w:val="24"/>
          <w:szCs w:val="24"/>
        </w:rPr>
      </w:pPr>
      <w:r w:rsidRPr="00346CE4">
        <w:rPr>
          <w:sz w:val="24"/>
          <w:szCs w:val="24"/>
        </w:rPr>
        <w:t>Decizia ECC/DEC (18)06 privind condiții tehnice armonizate pentru rețele de comunicații fixe/mobile în banda 24,25-27,5 GHz, corectată la data de 26 octombrie 2018;</w:t>
      </w:r>
    </w:p>
    <w:p w:rsidR="00346CE4" w:rsidRPr="00346CE4" w:rsidRDefault="00346CE4" w:rsidP="00346CE4">
      <w:pPr>
        <w:tabs>
          <w:tab w:val="left" w:pos="0"/>
        </w:tabs>
        <w:autoSpaceDE w:val="0"/>
        <w:autoSpaceDN w:val="0"/>
        <w:adjustRightInd w:val="0"/>
        <w:rPr>
          <w:sz w:val="24"/>
          <w:szCs w:val="24"/>
        </w:rPr>
      </w:pPr>
      <w:r w:rsidRPr="00346CE4">
        <w:rPr>
          <w:sz w:val="24"/>
          <w:szCs w:val="24"/>
        </w:rPr>
        <w:t>Recomandarea ECC/REC/(19)01 din 8 martie 2019 privind instrumentarul tehnic în susținerea introducerii 5G asigurând, în mod proporțional, utilizarea stațiilor la sol de recepție EESS/SRS existente și planificate și posibilitatea desfășurării pe viitor a acestor stații;</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ECC 303: Ghidul administrațiilor pentru coexistența între 5G și liniile fixe în banda 26 GHz, aprobat la data de 5 iulie 2019;</w:t>
      </w:r>
    </w:p>
    <w:p w:rsidR="00346CE4" w:rsidRPr="00346CE4" w:rsidRDefault="00346CE4" w:rsidP="00346CE4">
      <w:pPr>
        <w:tabs>
          <w:tab w:val="left" w:pos="0"/>
        </w:tabs>
        <w:autoSpaceDE w:val="0"/>
        <w:autoSpaceDN w:val="0"/>
        <w:adjustRightInd w:val="0"/>
        <w:rPr>
          <w:sz w:val="24"/>
          <w:szCs w:val="24"/>
        </w:rPr>
      </w:pPr>
      <w:r w:rsidRPr="00346CE4">
        <w:rPr>
          <w:sz w:val="24"/>
          <w:szCs w:val="24"/>
        </w:rPr>
        <w:t>Raportul CEPT 068: Raportul B din partea CEPT către Comisia Europeană ca răspuns la Mandatul „de a dezvolta condiții tehnice armonizate pentru utilizarea spectrului în susținerea introducerii sistemelor terestre de comunicații de generație nouă (5G) în Uniune”. Condiții tehnice armonizate pentru banda 24,25-27,5 GHz (26 GHz).</w:t>
      </w:r>
    </w:p>
    <w:p w:rsidR="00346CE4" w:rsidRPr="00346CE4" w:rsidRDefault="00346CE4" w:rsidP="00346CE4">
      <w:pPr>
        <w:tabs>
          <w:tab w:val="left" w:pos="0"/>
        </w:tabs>
        <w:autoSpaceDE w:val="0"/>
        <w:autoSpaceDN w:val="0"/>
        <w:adjustRightInd w:val="0"/>
        <w:rPr>
          <w:b/>
          <w:bCs/>
          <w:sz w:val="24"/>
          <w:szCs w:val="24"/>
        </w:rPr>
      </w:pPr>
      <w:r w:rsidRPr="00346CE4">
        <w:rPr>
          <w:b/>
          <w:sz w:val="24"/>
          <w:szCs w:val="24"/>
        </w:rPr>
        <w:t>4)</w:t>
      </w:r>
      <w:r w:rsidRPr="00346CE4">
        <w:rPr>
          <w:sz w:val="24"/>
          <w:szCs w:val="24"/>
        </w:rPr>
        <w:t xml:space="preserve"> </w:t>
      </w:r>
      <w:r w:rsidRPr="00346CE4">
        <w:rPr>
          <w:b/>
          <w:bCs/>
          <w:sz w:val="24"/>
          <w:szCs w:val="24"/>
        </w:rPr>
        <w:t xml:space="preserve">La nivel </w:t>
      </w:r>
      <w:proofErr w:type="spellStart"/>
      <w:r w:rsidRPr="00346CE4">
        <w:rPr>
          <w:b/>
          <w:bCs/>
          <w:sz w:val="24"/>
          <w:szCs w:val="24"/>
        </w:rPr>
        <w:t>naţional</w:t>
      </w:r>
      <w:proofErr w:type="spellEnd"/>
      <w:r w:rsidRPr="00346CE4">
        <w:rPr>
          <w:b/>
          <w:bCs/>
          <w:sz w:val="24"/>
          <w:szCs w:val="24"/>
        </w:rPr>
        <w:t>:</w:t>
      </w:r>
    </w:p>
    <w:p w:rsidR="00346CE4" w:rsidRPr="00346CE4" w:rsidRDefault="00346CE4" w:rsidP="00346CE4">
      <w:pPr>
        <w:numPr>
          <w:ilvl w:val="0"/>
          <w:numId w:val="2"/>
        </w:numPr>
        <w:tabs>
          <w:tab w:val="left" w:pos="0"/>
          <w:tab w:val="left" w:pos="1134"/>
        </w:tabs>
        <w:ind w:left="0" w:firstLine="709"/>
        <w:rPr>
          <w:sz w:val="24"/>
          <w:szCs w:val="24"/>
        </w:rPr>
      </w:pPr>
      <w:r w:rsidRPr="00346CE4">
        <w:rPr>
          <w:sz w:val="24"/>
          <w:szCs w:val="24"/>
        </w:rPr>
        <w:t xml:space="preserve">Legea </w:t>
      </w:r>
      <w:proofErr w:type="spellStart"/>
      <w:r w:rsidRPr="00346CE4">
        <w:rPr>
          <w:sz w:val="24"/>
          <w:szCs w:val="24"/>
        </w:rPr>
        <w:t>comunicaţiilor</w:t>
      </w:r>
      <w:proofErr w:type="spellEnd"/>
      <w:r w:rsidRPr="00346CE4">
        <w:rPr>
          <w:sz w:val="24"/>
          <w:szCs w:val="24"/>
        </w:rPr>
        <w:t xml:space="preserve"> electronice nr. 241/2007;</w:t>
      </w:r>
    </w:p>
    <w:p w:rsidR="00346CE4" w:rsidRPr="00346CE4" w:rsidRDefault="00346CE4" w:rsidP="00346CE4">
      <w:pPr>
        <w:numPr>
          <w:ilvl w:val="0"/>
          <w:numId w:val="2"/>
        </w:numPr>
        <w:tabs>
          <w:tab w:val="left" w:pos="0"/>
          <w:tab w:val="left" w:pos="1134"/>
        </w:tabs>
        <w:ind w:left="0" w:firstLine="709"/>
        <w:rPr>
          <w:sz w:val="24"/>
          <w:szCs w:val="24"/>
        </w:rPr>
      </w:pPr>
      <w:r w:rsidRPr="00346CE4">
        <w:rPr>
          <w:sz w:val="24"/>
          <w:szCs w:val="24"/>
        </w:rPr>
        <w:t>Programul de management al spectrului de frecvențe radio pe anii 2013-2020 și Planul de acțiuni privind realizarea acestuia, aprobat prin Hotărârea Guvernului nr. 116/2013;</w:t>
      </w:r>
    </w:p>
    <w:p w:rsidR="00346CE4" w:rsidRPr="00346CE4" w:rsidRDefault="00346CE4" w:rsidP="00346CE4">
      <w:pPr>
        <w:numPr>
          <w:ilvl w:val="0"/>
          <w:numId w:val="2"/>
        </w:numPr>
        <w:tabs>
          <w:tab w:val="left" w:pos="0"/>
          <w:tab w:val="left" w:pos="360"/>
          <w:tab w:val="left" w:pos="1134"/>
        </w:tabs>
        <w:ind w:left="0" w:firstLine="709"/>
        <w:rPr>
          <w:b/>
          <w:bCs/>
          <w:sz w:val="24"/>
          <w:szCs w:val="24"/>
        </w:rPr>
      </w:pPr>
      <w:r w:rsidRPr="00346CE4">
        <w:rPr>
          <w:sz w:val="24"/>
          <w:szCs w:val="24"/>
        </w:rPr>
        <w:t>Hotărârea Guvernului nr. 629/2018 cu privire la aprobarea Programului de dezvoltare a rețelelor de bandă largă pe anii 2018-2020 și a Planului de acțiuni pentru realizarea acestuia;</w:t>
      </w:r>
    </w:p>
    <w:p w:rsidR="00346CE4" w:rsidRPr="00346CE4" w:rsidRDefault="00346CE4" w:rsidP="00346CE4">
      <w:pPr>
        <w:numPr>
          <w:ilvl w:val="0"/>
          <w:numId w:val="2"/>
        </w:numPr>
        <w:tabs>
          <w:tab w:val="left" w:pos="0"/>
          <w:tab w:val="left" w:pos="360"/>
          <w:tab w:val="left" w:pos="1134"/>
        </w:tabs>
        <w:ind w:left="0" w:firstLine="709"/>
        <w:rPr>
          <w:sz w:val="24"/>
          <w:szCs w:val="24"/>
        </w:rPr>
      </w:pPr>
      <w:r w:rsidRPr="00346CE4">
        <w:rPr>
          <w:sz w:val="24"/>
          <w:szCs w:val="24"/>
        </w:rPr>
        <w:lastRenderedPageBreak/>
        <w:t>Hotărârea Guvernului nr. 240/2015 pentru aprobarea Programului privind tranziția de la televiziunea analogică terestră la cea digitală terestră;</w:t>
      </w:r>
    </w:p>
    <w:p w:rsidR="00346CE4" w:rsidRPr="00346CE4" w:rsidRDefault="00346CE4" w:rsidP="00346CE4">
      <w:pPr>
        <w:numPr>
          <w:ilvl w:val="0"/>
          <w:numId w:val="2"/>
        </w:numPr>
        <w:tabs>
          <w:tab w:val="left" w:pos="0"/>
          <w:tab w:val="left" w:pos="1134"/>
        </w:tabs>
        <w:ind w:left="0" w:firstLine="709"/>
        <w:rPr>
          <w:sz w:val="24"/>
          <w:szCs w:val="24"/>
        </w:rPr>
      </w:pPr>
      <w:r w:rsidRPr="00346CE4">
        <w:rPr>
          <w:sz w:val="24"/>
          <w:szCs w:val="24"/>
        </w:rPr>
        <w:t xml:space="preserve">Tabelul </w:t>
      </w:r>
      <w:proofErr w:type="spellStart"/>
      <w:r w:rsidRPr="00346CE4">
        <w:rPr>
          <w:sz w:val="24"/>
          <w:szCs w:val="24"/>
        </w:rPr>
        <w:t>naţional</w:t>
      </w:r>
      <w:proofErr w:type="spellEnd"/>
      <w:r w:rsidRPr="00346CE4">
        <w:rPr>
          <w:sz w:val="24"/>
          <w:szCs w:val="24"/>
        </w:rPr>
        <w:t xml:space="preserve"> de atribuire a benzilor de </w:t>
      </w:r>
      <w:proofErr w:type="spellStart"/>
      <w:r w:rsidRPr="00346CE4">
        <w:rPr>
          <w:sz w:val="24"/>
          <w:szCs w:val="24"/>
        </w:rPr>
        <w:t>frecvenţe</w:t>
      </w:r>
      <w:proofErr w:type="spellEnd"/>
      <w:r w:rsidRPr="00346CE4">
        <w:rPr>
          <w:sz w:val="24"/>
          <w:szCs w:val="24"/>
        </w:rPr>
        <w:t>, aprobat prin Hotărârea Comisiei de stat pentru frecvențe radio a Republicii Moldova nr. 11/2000.</w:t>
      </w:r>
    </w:p>
    <w:p w:rsidR="00346CE4" w:rsidRPr="00346CE4" w:rsidRDefault="00346CE4" w:rsidP="00346CE4">
      <w:pPr>
        <w:tabs>
          <w:tab w:val="left" w:pos="0"/>
          <w:tab w:val="left" w:pos="1134"/>
        </w:tabs>
        <w:rPr>
          <w:sz w:val="24"/>
          <w:szCs w:val="24"/>
        </w:rPr>
      </w:pPr>
      <w:r w:rsidRPr="00346CE4">
        <w:rPr>
          <w:b/>
          <w:sz w:val="24"/>
          <w:szCs w:val="24"/>
        </w:rPr>
        <w:t>5)</w:t>
      </w:r>
      <w:r w:rsidRPr="00346CE4">
        <w:rPr>
          <w:sz w:val="24"/>
          <w:szCs w:val="24"/>
        </w:rPr>
        <w:t xml:space="preserve"> Obiectivele actelor de reglementare de toate nivelele ierarhice de decizie sunt de a stabili un cadru comun care ar asigura coordonarea politicilor </w:t>
      </w:r>
      <w:proofErr w:type="spellStart"/>
      <w:r w:rsidRPr="00346CE4">
        <w:rPr>
          <w:sz w:val="24"/>
          <w:szCs w:val="24"/>
        </w:rPr>
        <w:t>şi</w:t>
      </w:r>
      <w:proofErr w:type="spellEnd"/>
      <w:r w:rsidRPr="00346CE4">
        <w:rPr>
          <w:sz w:val="24"/>
          <w:szCs w:val="24"/>
        </w:rPr>
        <w:t xml:space="preserve">, după caz, armonizarea </w:t>
      </w:r>
      <w:proofErr w:type="spellStart"/>
      <w:r w:rsidRPr="00346CE4">
        <w:rPr>
          <w:sz w:val="24"/>
          <w:szCs w:val="24"/>
        </w:rPr>
        <w:t>condiţiilor</w:t>
      </w:r>
      <w:proofErr w:type="spellEnd"/>
      <w:r w:rsidRPr="00346CE4">
        <w:rPr>
          <w:sz w:val="24"/>
          <w:szCs w:val="24"/>
        </w:rPr>
        <w:t xml:space="preserve"> referitoare la disponibilitatea </w:t>
      </w:r>
      <w:proofErr w:type="spellStart"/>
      <w:r w:rsidRPr="00346CE4">
        <w:rPr>
          <w:sz w:val="24"/>
          <w:szCs w:val="24"/>
        </w:rPr>
        <w:t>şi</w:t>
      </w:r>
      <w:proofErr w:type="spellEnd"/>
      <w:r w:rsidRPr="00346CE4">
        <w:rPr>
          <w:sz w:val="24"/>
          <w:szCs w:val="24"/>
        </w:rPr>
        <w:t xml:space="preserve"> utilizarea eficientă a spectrului de </w:t>
      </w:r>
      <w:proofErr w:type="spellStart"/>
      <w:r w:rsidRPr="00346CE4">
        <w:rPr>
          <w:sz w:val="24"/>
          <w:szCs w:val="24"/>
        </w:rPr>
        <w:t>frecvenţe</w:t>
      </w:r>
      <w:proofErr w:type="spellEnd"/>
      <w:r w:rsidRPr="00346CE4">
        <w:rPr>
          <w:sz w:val="24"/>
          <w:szCs w:val="24"/>
        </w:rPr>
        <w:t xml:space="preserve"> radio.</w:t>
      </w:r>
    </w:p>
    <w:p w:rsidR="00346CE4" w:rsidRPr="00346CE4" w:rsidRDefault="00346CE4" w:rsidP="00346CE4">
      <w:pPr>
        <w:tabs>
          <w:tab w:val="left" w:pos="0"/>
          <w:tab w:val="left" w:pos="1134"/>
        </w:tabs>
        <w:rPr>
          <w:sz w:val="24"/>
          <w:szCs w:val="24"/>
        </w:rPr>
      </w:pPr>
      <w:r w:rsidRPr="00346CE4">
        <w:rPr>
          <w:sz w:val="24"/>
          <w:szCs w:val="24"/>
        </w:rPr>
        <w:t xml:space="preserve">Republica Moldova, în </w:t>
      </w:r>
      <w:proofErr w:type="spellStart"/>
      <w:r w:rsidRPr="00346CE4">
        <w:rPr>
          <w:sz w:val="24"/>
          <w:szCs w:val="24"/>
        </w:rPr>
        <w:t>poziţia</w:t>
      </w:r>
      <w:proofErr w:type="spellEnd"/>
      <w:r w:rsidRPr="00346CE4">
        <w:rPr>
          <w:sz w:val="24"/>
          <w:szCs w:val="24"/>
        </w:rPr>
        <w:t xml:space="preserve"> sa de stat situat în nemijlocită vecinătate cu Uniunea Europeană </w:t>
      </w:r>
      <w:proofErr w:type="spellStart"/>
      <w:r w:rsidRPr="00346CE4">
        <w:rPr>
          <w:sz w:val="24"/>
          <w:szCs w:val="24"/>
        </w:rPr>
        <w:t>şi</w:t>
      </w:r>
      <w:proofErr w:type="spellEnd"/>
      <w:r w:rsidRPr="00346CE4">
        <w:rPr>
          <w:sz w:val="24"/>
          <w:szCs w:val="24"/>
        </w:rPr>
        <w:t xml:space="preserve"> luând în considerare </w:t>
      </w:r>
      <w:proofErr w:type="spellStart"/>
      <w:r w:rsidRPr="00346CE4">
        <w:rPr>
          <w:sz w:val="24"/>
          <w:szCs w:val="24"/>
        </w:rPr>
        <w:t>aspiraţiile</w:t>
      </w:r>
      <w:proofErr w:type="spellEnd"/>
      <w:r w:rsidRPr="00346CE4">
        <w:rPr>
          <w:sz w:val="24"/>
          <w:szCs w:val="24"/>
        </w:rPr>
        <w:t xml:space="preserve"> de integrare europeană, </w:t>
      </w:r>
      <w:proofErr w:type="spellStart"/>
      <w:r w:rsidRPr="00346CE4">
        <w:rPr>
          <w:sz w:val="24"/>
          <w:szCs w:val="24"/>
        </w:rPr>
        <w:t>îşi</w:t>
      </w:r>
      <w:proofErr w:type="spellEnd"/>
      <w:r w:rsidRPr="00346CE4">
        <w:rPr>
          <w:sz w:val="24"/>
          <w:szCs w:val="24"/>
        </w:rPr>
        <w:t xml:space="preserve"> armonizează în mod continuu </w:t>
      </w:r>
      <w:proofErr w:type="spellStart"/>
      <w:r w:rsidRPr="00346CE4">
        <w:rPr>
          <w:sz w:val="24"/>
          <w:szCs w:val="24"/>
        </w:rPr>
        <w:t>legislaţia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cu cea comunitară. Prin această armonizare impunându-se, totodată, realizarea </w:t>
      </w:r>
      <w:proofErr w:type="spellStart"/>
      <w:r w:rsidRPr="00346CE4">
        <w:rPr>
          <w:sz w:val="24"/>
          <w:szCs w:val="24"/>
        </w:rPr>
        <w:t>cerinţelor</w:t>
      </w:r>
      <w:proofErr w:type="spellEnd"/>
      <w:r w:rsidRPr="00346CE4">
        <w:rPr>
          <w:sz w:val="24"/>
          <w:szCs w:val="24"/>
        </w:rPr>
        <w:t xml:space="preserve"> ce vizează reglementarea spectrului de </w:t>
      </w:r>
      <w:proofErr w:type="spellStart"/>
      <w:r w:rsidRPr="00346CE4">
        <w:rPr>
          <w:sz w:val="24"/>
          <w:szCs w:val="24"/>
        </w:rPr>
        <w:t>frecvenţe</w:t>
      </w:r>
      <w:proofErr w:type="spellEnd"/>
      <w:r w:rsidRPr="00346CE4">
        <w:rPr>
          <w:sz w:val="24"/>
          <w:szCs w:val="24"/>
        </w:rPr>
        <w:t xml:space="preserve"> radio.</w:t>
      </w:r>
    </w:p>
    <w:p w:rsidR="00346CE4" w:rsidRPr="00346CE4" w:rsidRDefault="00346CE4" w:rsidP="00346CE4">
      <w:pPr>
        <w:tabs>
          <w:tab w:val="left" w:pos="0"/>
          <w:tab w:val="left" w:pos="1134"/>
        </w:tabs>
        <w:rPr>
          <w:sz w:val="24"/>
          <w:szCs w:val="24"/>
        </w:rPr>
      </w:pPr>
      <w:r w:rsidRPr="00346CE4">
        <w:rPr>
          <w:sz w:val="24"/>
          <w:szCs w:val="24"/>
        </w:rPr>
        <w:t xml:space="preserve">Guvernul are angajamentul ca prin acest act normativ să implementeze deciziile UIT, Comisiei Europene și CEPT care vor asigura baza legală privind armonizarea </w:t>
      </w:r>
      <w:proofErr w:type="spellStart"/>
      <w:r w:rsidRPr="00346CE4">
        <w:rPr>
          <w:sz w:val="24"/>
          <w:szCs w:val="24"/>
        </w:rPr>
        <w:t>condiţiilor</w:t>
      </w:r>
      <w:proofErr w:type="spellEnd"/>
      <w:r w:rsidRPr="00346CE4">
        <w:rPr>
          <w:sz w:val="24"/>
          <w:szCs w:val="24"/>
        </w:rPr>
        <w:t xml:space="preserve"> pentru disponibilitatea </w:t>
      </w:r>
      <w:proofErr w:type="spellStart"/>
      <w:r w:rsidRPr="00346CE4">
        <w:rPr>
          <w:sz w:val="24"/>
          <w:szCs w:val="24"/>
        </w:rPr>
        <w:t>şi</w:t>
      </w:r>
      <w:proofErr w:type="spellEnd"/>
      <w:r w:rsidRPr="00346CE4">
        <w:rPr>
          <w:sz w:val="24"/>
          <w:szCs w:val="24"/>
        </w:rPr>
        <w:t xml:space="preserve"> utilizarea eficientă a resurselor de </w:t>
      </w:r>
      <w:proofErr w:type="spellStart"/>
      <w:r w:rsidRPr="00346CE4">
        <w:rPr>
          <w:sz w:val="24"/>
          <w:szCs w:val="24"/>
        </w:rPr>
        <w:t>frecvenţe</w:t>
      </w:r>
      <w:proofErr w:type="spellEnd"/>
      <w:r w:rsidRPr="00346CE4">
        <w:rPr>
          <w:sz w:val="24"/>
          <w:szCs w:val="24"/>
        </w:rPr>
        <w:t xml:space="preserve"> radio, în scopul dezvoltării durabile a </w:t>
      </w:r>
      <w:proofErr w:type="spellStart"/>
      <w:r w:rsidRPr="00346CE4">
        <w:rPr>
          <w:sz w:val="24"/>
          <w:szCs w:val="24"/>
        </w:rPr>
        <w:t>comunicaţiilor</w:t>
      </w:r>
      <w:proofErr w:type="spellEnd"/>
      <w:r w:rsidRPr="00346CE4">
        <w:rPr>
          <w:sz w:val="24"/>
          <w:szCs w:val="24"/>
        </w:rPr>
        <w:t xml:space="preserve"> electronice mobile în bandă largă pe o perioadă determinată de timp și să sublinieze avantajele economice pentru furnizorii și consumatorii naționali prin accesul la ecosistemul tehnologic regional și la piața echipamentelor și serviciilor armonizate.</w:t>
      </w:r>
      <w:bookmarkStart w:id="0" w:name="Analiza_SWOT"/>
    </w:p>
    <w:p w:rsidR="00346CE4" w:rsidRPr="00346CE4" w:rsidRDefault="00346CE4" w:rsidP="00346CE4">
      <w:pPr>
        <w:pStyle w:val="ab"/>
        <w:tabs>
          <w:tab w:val="left" w:pos="0"/>
          <w:tab w:val="left" w:pos="709"/>
          <w:tab w:val="left" w:pos="1134"/>
        </w:tabs>
        <w:ind w:left="0"/>
        <w:contextualSpacing w:val="0"/>
        <w:outlineLvl w:val="1"/>
        <w:rPr>
          <w:sz w:val="24"/>
          <w:szCs w:val="24"/>
        </w:rPr>
      </w:pPr>
      <w:r w:rsidRPr="00346CE4">
        <w:rPr>
          <w:sz w:val="24"/>
          <w:szCs w:val="24"/>
        </w:rPr>
        <w:t>În ceea ce privește numărul furnizorilor existenți de rețele și/sau servicii de comunicații electronice mobile, percepția actuală este că piața de telefonie mobilă este bine servită de cele trei rețele naționale existente (Î.M. ,,</w:t>
      </w:r>
      <w:proofErr w:type="spellStart"/>
      <w:r w:rsidRPr="00346CE4">
        <w:rPr>
          <w:sz w:val="24"/>
          <w:szCs w:val="24"/>
        </w:rPr>
        <w:t>Moldcell</w:t>
      </w:r>
      <w:proofErr w:type="spellEnd"/>
      <w:r w:rsidRPr="00346CE4">
        <w:rPr>
          <w:sz w:val="24"/>
          <w:szCs w:val="24"/>
        </w:rPr>
        <w:t>” S.A., Î.M. ,,Orange Moldova” S.A. și „</w:t>
      </w:r>
      <w:proofErr w:type="spellStart"/>
      <w:r w:rsidRPr="00346CE4">
        <w:rPr>
          <w:sz w:val="24"/>
          <w:szCs w:val="24"/>
        </w:rPr>
        <w:t>Moldtelecom</w:t>
      </w:r>
      <w:proofErr w:type="spellEnd"/>
      <w:r w:rsidRPr="00346CE4">
        <w:rPr>
          <w:sz w:val="24"/>
          <w:szCs w:val="24"/>
        </w:rPr>
        <w:t xml:space="preserve">” S.A.). Aceasta oferă un echilibru suficient pentru asigurarea unei concurențe largi, fără a pune în pericol perspectivele de rentabilitate a investițiilor datorate </w:t>
      </w:r>
      <w:proofErr w:type="spellStart"/>
      <w:r w:rsidRPr="00346CE4">
        <w:rPr>
          <w:sz w:val="24"/>
          <w:szCs w:val="24"/>
        </w:rPr>
        <w:t>suprafragmentării</w:t>
      </w:r>
      <w:proofErr w:type="spellEnd"/>
      <w:r w:rsidRPr="00346CE4">
        <w:rPr>
          <w:sz w:val="24"/>
          <w:szCs w:val="24"/>
        </w:rPr>
        <w:t xml:space="preserve"> pieței.</w:t>
      </w:r>
    </w:p>
    <w:p w:rsidR="00346CE4" w:rsidRPr="00346CE4" w:rsidRDefault="00346CE4" w:rsidP="00346CE4">
      <w:pPr>
        <w:pStyle w:val="ab"/>
        <w:tabs>
          <w:tab w:val="left" w:pos="0"/>
        </w:tabs>
        <w:ind w:left="0"/>
        <w:contextualSpacing w:val="0"/>
        <w:outlineLvl w:val="1"/>
        <w:rPr>
          <w:b/>
          <w:sz w:val="24"/>
          <w:szCs w:val="24"/>
        </w:rPr>
      </w:pPr>
    </w:p>
    <w:p w:rsidR="00346CE4" w:rsidRPr="00346CE4" w:rsidRDefault="00346CE4" w:rsidP="00346CE4">
      <w:pPr>
        <w:pStyle w:val="ab"/>
        <w:tabs>
          <w:tab w:val="left" w:pos="0"/>
        </w:tabs>
        <w:ind w:left="0"/>
        <w:contextualSpacing w:val="0"/>
        <w:outlineLvl w:val="1"/>
        <w:rPr>
          <w:b/>
          <w:sz w:val="24"/>
          <w:szCs w:val="24"/>
        </w:rPr>
      </w:pPr>
      <w:r w:rsidRPr="00346CE4">
        <w:rPr>
          <w:b/>
          <w:sz w:val="24"/>
          <w:szCs w:val="24"/>
        </w:rPr>
        <w:t>6. Analiza SWOT</w:t>
      </w:r>
    </w:p>
    <w:bookmarkEnd w:id="0"/>
    <w:p w:rsidR="00346CE4" w:rsidRPr="00346CE4" w:rsidRDefault="00346CE4" w:rsidP="00346CE4">
      <w:pPr>
        <w:tabs>
          <w:tab w:val="left" w:pos="0"/>
        </w:tabs>
        <w:rPr>
          <w:sz w:val="24"/>
          <w:szCs w:val="24"/>
        </w:rPr>
      </w:pPr>
      <w:r w:rsidRPr="00346CE4">
        <w:rPr>
          <w:sz w:val="24"/>
          <w:szCs w:val="24"/>
        </w:rPr>
        <w:t xml:space="preserve">1) Analiza SWOT (puncte forte, puncte slabe, </w:t>
      </w:r>
      <w:proofErr w:type="spellStart"/>
      <w:r w:rsidRPr="00346CE4">
        <w:rPr>
          <w:sz w:val="24"/>
          <w:szCs w:val="24"/>
        </w:rPr>
        <w:t>oportunităţi</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pericole) prezentată în tabelul 1 este o expunere concisă a </w:t>
      </w:r>
      <w:proofErr w:type="spellStart"/>
      <w:r w:rsidRPr="00346CE4">
        <w:rPr>
          <w:sz w:val="24"/>
          <w:szCs w:val="24"/>
        </w:rPr>
        <w:t>situaţiei</w:t>
      </w:r>
      <w:proofErr w:type="spellEnd"/>
      <w:r w:rsidRPr="00346CE4">
        <w:rPr>
          <w:sz w:val="24"/>
          <w:szCs w:val="24"/>
        </w:rPr>
        <w:t xml:space="preserve"> curente ce </w:t>
      </w:r>
      <w:proofErr w:type="spellStart"/>
      <w:r w:rsidRPr="00346CE4">
        <w:rPr>
          <w:sz w:val="24"/>
          <w:szCs w:val="24"/>
        </w:rPr>
        <w:t>ţine</w:t>
      </w:r>
      <w:proofErr w:type="spellEnd"/>
      <w:r w:rsidRPr="00346CE4">
        <w:rPr>
          <w:sz w:val="24"/>
          <w:szCs w:val="24"/>
        </w:rPr>
        <w:t xml:space="preserve"> de managementul spectrului de </w:t>
      </w:r>
      <w:proofErr w:type="spellStart"/>
      <w:r w:rsidRPr="00346CE4">
        <w:rPr>
          <w:sz w:val="24"/>
          <w:szCs w:val="24"/>
        </w:rPr>
        <w:t>frecvenţe</w:t>
      </w:r>
      <w:proofErr w:type="spellEnd"/>
      <w:r w:rsidRPr="00346CE4">
        <w:rPr>
          <w:sz w:val="24"/>
          <w:szCs w:val="24"/>
        </w:rPr>
        <w:t xml:space="preserve"> radio în Republica Moldova, după cum este relevant pentru furnizarea de servicii de comunicații electronice mobile de bandă largă.</w:t>
      </w:r>
    </w:p>
    <w:p w:rsidR="00346CE4" w:rsidRDefault="00346CE4"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Default="00361E9D" w:rsidP="00346CE4">
      <w:pPr>
        <w:tabs>
          <w:tab w:val="left" w:pos="0"/>
        </w:tabs>
        <w:jc w:val="right"/>
        <w:rPr>
          <w:sz w:val="24"/>
          <w:szCs w:val="24"/>
        </w:rPr>
      </w:pPr>
    </w:p>
    <w:p w:rsidR="00361E9D" w:rsidRPr="00346CE4" w:rsidRDefault="00361E9D" w:rsidP="00346CE4">
      <w:pPr>
        <w:tabs>
          <w:tab w:val="left" w:pos="0"/>
        </w:tabs>
        <w:jc w:val="right"/>
        <w:rPr>
          <w:sz w:val="24"/>
          <w:szCs w:val="24"/>
        </w:rPr>
      </w:pPr>
    </w:p>
    <w:p w:rsidR="00346CE4" w:rsidRPr="00346CE4" w:rsidRDefault="00346CE4" w:rsidP="00346CE4">
      <w:pPr>
        <w:tabs>
          <w:tab w:val="left" w:pos="0"/>
        </w:tabs>
        <w:jc w:val="right"/>
        <w:rPr>
          <w:sz w:val="24"/>
          <w:szCs w:val="24"/>
        </w:rPr>
      </w:pPr>
    </w:p>
    <w:p w:rsidR="00346CE4" w:rsidRPr="00346CE4" w:rsidRDefault="00346CE4" w:rsidP="00346CE4">
      <w:pPr>
        <w:tabs>
          <w:tab w:val="left" w:pos="0"/>
        </w:tabs>
        <w:jc w:val="right"/>
        <w:rPr>
          <w:b/>
          <w:sz w:val="24"/>
          <w:szCs w:val="24"/>
        </w:rPr>
      </w:pPr>
      <w:r w:rsidRPr="00346CE4">
        <w:rPr>
          <w:b/>
          <w:sz w:val="24"/>
          <w:szCs w:val="24"/>
        </w:rPr>
        <w:lastRenderedPageBreak/>
        <w:t>Tabelul 1</w:t>
      </w:r>
      <w:r w:rsidRPr="00346CE4">
        <w:rPr>
          <w:b/>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4849"/>
      </w:tblGrid>
      <w:tr w:rsidR="00346CE4" w:rsidRPr="00346CE4" w:rsidTr="0068170A">
        <w:trPr>
          <w:trHeight w:val="539"/>
        </w:trPr>
        <w:tc>
          <w:tcPr>
            <w:tcW w:w="2341" w:type="pct"/>
            <w:shd w:val="clear" w:color="auto" w:fill="auto"/>
            <w:vAlign w:val="center"/>
          </w:tcPr>
          <w:p w:rsidR="00346CE4" w:rsidRPr="00346CE4" w:rsidRDefault="00346CE4" w:rsidP="00346CE4">
            <w:pPr>
              <w:tabs>
                <w:tab w:val="left" w:pos="1134"/>
              </w:tabs>
              <w:ind w:firstLine="0"/>
              <w:jc w:val="center"/>
              <w:rPr>
                <w:b/>
                <w:bCs/>
                <w:sz w:val="24"/>
                <w:szCs w:val="24"/>
              </w:rPr>
            </w:pPr>
            <w:r w:rsidRPr="00346CE4">
              <w:rPr>
                <w:b/>
                <w:bCs/>
                <w:sz w:val="24"/>
                <w:szCs w:val="24"/>
              </w:rPr>
              <w:t>Puncte forte (</w:t>
            </w:r>
            <w:proofErr w:type="spellStart"/>
            <w:r w:rsidRPr="00346CE4">
              <w:rPr>
                <w:b/>
                <w:bCs/>
                <w:sz w:val="24"/>
                <w:szCs w:val="24"/>
              </w:rPr>
              <w:t>Strengths</w:t>
            </w:r>
            <w:proofErr w:type="spellEnd"/>
            <w:r w:rsidRPr="00346CE4">
              <w:rPr>
                <w:b/>
                <w:bCs/>
                <w:sz w:val="24"/>
                <w:szCs w:val="24"/>
              </w:rPr>
              <w:t>):</w:t>
            </w:r>
          </w:p>
        </w:tc>
        <w:tc>
          <w:tcPr>
            <w:tcW w:w="2659" w:type="pct"/>
            <w:shd w:val="clear" w:color="auto" w:fill="auto"/>
            <w:vAlign w:val="center"/>
          </w:tcPr>
          <w:p w:rsidR="00346CE4" w:rsidRPr="00346CE4" w:rsidRDefault="00346CE4" w:rsidP="00346CE4">
            <w:pPr>
              <w:tabs>
                <w:tab w:val="left" w:pos="1134"/>
              </w:tabs>
              <w:ind w:firstLine="0"/>
              <w:jc w:val="center"/>
              <w:rPr>
                <w:b/>
                <w:bCs/>
                <w:sz w:val="24"/>
                <w:szCs w:val="24"/>
              </w:rPr>
            </w:pPr>
            <w:r w:rsidRPr="00346CE4">
              <w:rPr>
                <w:b/>
                <w:bCs/>
                <w:sz w:val="24"/>
                <w:szCs w:val="24"/>
              </w:rPr>
              <w:t>Puncte slabe (</w:t>
            </w:r>
            <w:proofErr w:type="spellStart"/>
            <w:r w:rsidRPr="00346CE4">
              <w:rPr>
                <w:b/>
                <w:bCs/>
                <w:sz w:val="24"/>
                <w:szCs w:val="24"/>
              </w:rPr>
              <w:t>Weaknesses</w:t>
            </w:r>
            <w:proofErr w:type="spellEnd"/>
            <w:r w:rsidRPr="00346CE4">
              <w:rPr>
                <w:b/>
                <w:bCs/>
                <w:sz w:val="24"/>
                <w:szCs w:val="24"/>
              </w:rPr>
              <w:t>):</w:t>
            </w:r>
          </w:p>
        </w:tc>
      </w:tr>
      <w:tr w:rsidR="00346CE4" w:rsidRPr="00346CE4" w:rsidTr="0068170A">
        <w:trPr>
          <w:trHeight w:val="6369"/>
        </w:trPr>
        <w:tc>
          <w:tcPr>
            <w:tcW w:w="2341" w:type="pct"/>
            <w:shd w:val="clear" w:color="auto" w:fill="auto"/>
          </w:tcPr>
          <w:p w:rsidR="00346CE4" w:rsidRPr="00346CE4" w:rsidRDefault="00346CE4" w:rsidP="00346CE4">
            <w:pPr>
              <w:numPr>
                <w:ilvl w:val="0"/>
                <w:numId w:val="6"/>
              </w:numPr>
              <w:tabs>
                <w:tab w:val="left" w:pos="0"/>
                <w:tab w:val="left" w:pos="415"/>
              </w:tabs>
              <w:ind w:left="0" w:firstLine="0"/>
              <w:jc w:val="left"/>
              <w:rPr>
                <w:bCs/>
                <w:sz w:val="24"/>
                <w:szCs w:val="24"/>
              </w:rPr>
            </w:pPr>
            <w:r w:rsidRPr="00346CE4">
              <w:rPr>
                <w:sz w:val="24"/>
                <w:szCs w:val="24"/>
              </w:rPr>
              <w:t>Existența autorității de reglementare economică</w:t>
            </w:r>
            <w:r w:rsidRPr="00346CE4">
              <w:rPr>
                <w:sz w:val="24"/>
                <w:szCs w:val="24"/>
                <w:shd w:val="clear" w:color="auto" w:fill="FAFAFA"/>
              </w:rPr>
              <w:t xml:space="preserve"> </w:t>
            </w:r>
            <w:proofErr w:type="spellStart"/>
            <w:r w:rsidRPr="00346CE4">
              <w:rPr>
                <w:sz w:val="24"/>
                <w:szCs w:val="24"/>
              </w:rPr>
              <w:t>şi</w:t>
            </w:r>
            <w:proofErr w:type="spellEnd"/>
            <w:r w:rsidRPr="00346CE4">
              <w:rPr>
                <w:sz w:val="24"/>
                <w:szCs w:val="24"/>
              </w:rPr>
              <w:t xml:space="preserve"> tehnică a </w:t>
            </w:r>
            <w:proofErr w:type="spellStart"/>
            <w:r w:rsidRPr="00346CE4">
              <w:rPr>
                <w:sz w:val="24"/>
                <w:szCs w:val="24"/>
              </w:rPr>
              <w:t>pieţei</w:t>
            </w:r>
            <w:proofErr w:type="spellEnd"/>
            <w:r w:rsidRPr="00346CE4">
              <w:rPr>
                <w:sz w:val="24"/>
                <w:szCs w:val="24"/>
              </w:rPr>
              <w:t xml:space="preserve"> </w:t>
            </w:r>
            <w:proofErr w:type="spellStart"/>
            <w:r w:rsidRPr="00346CE4">
              <w:rPr>
                <w:sz w:val="24"/>
                <w:szCs w:val="24"/>
              </w:rPr>
              <w:t>reţelelor</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serviciilor de</w:t>
            </w:r>
            <w:r w:rsidRPr="00346CE4">
              <w:rPr>
                <w:sz w:val="24"/>
                <w:szCs w:val="24"/>
                <w:shd w:val="clear" w:color="auto" w:fill="FAFAFA"/>
              </w:rPr>
              <w:t xml:space="preserve"> </w:t>
            </w:r>
            <w:proofErr w:type="spellStart"/>
            <w:r w:rsidRPr="00346CE4">
              <w:rPr>
                <w:sz w:val="24"/>
                <w:szCs w:val="24"/>
              </w:rPr>
              <w:t>comunicaţii</w:t>
            </w:r>
            <w:proofErr w:type="spellEnd"/>
            <w:r w:rsidRPr="00346CE4">
              <w:rPr>
                <w:sz w:val="24"/>
                <w:szCs w:val="24"/>
              </w:rPr>
              <w:t xml:space="preserve"> electronice;</w:t>
            </w:r>
          </w:p>
          <w:p w:rsidR="00346CE4" w:rsidRPr="00346CE4" w:rsidRDefault="00346CE4" w:rsidP="00346CE4">
            <w:pPr>
              <w:numPr>
                <w:ilvl w:val="0"/>
                <w:numId w:val="6"/>
              </w:numPr>
              <w:tabs>
                <w:tab w:val="left" w:pos="0"/>
                <w:tab w:val="left" w:pos="34"/>
                <w:tab w:val="left" w:pos="415"/>
              </w:tabs>
              <w:ind w:left="0" w:firstLine="0"/>
              <w:jc w:val="left"/>
              <w:rPr>
                <w:bCs/>
                <w:sz w:val="24"/>
                <w:szCs w:val="24"/>
              </w:rPr>
            </w:pPr>
            <w:r w:rsidRPr="00346CE4">
              <w:rPr>
                <w:sz w:val="24"/>
                <w:szCs w:val="24"/>
              </w:rPr>
              <w:t xml:space="preserve">Existența organismului </w:t>
            </w:r>
            <w:proofErr w:type="spellStart"/>
            <w:r w:rsidRPr="00346CE4">
              <w:rPr>
                <w:sz w:val="24"/>
                <w:szCs w:val="24"/>
              </w:rPr>
              <w:t>naţional</w:t>
            </w:r>
            <w:proofErr w:type="spellEnd"/>
            <w:r w:rsidRPr="00346CE4">
              <w:rPr>
                <w:sz w:val="24"/>
                <w:szCs w:val="24"/>
              </w:rPr>
              <w:t xml:space="preserve"> de gestionare tehnică a spectrului de </w:t>
            </w:r>
            <w:proofErr w:type="spellStart"/>
            <w:r w:rsidRPr="00346CE4">
              <w:rPr>
                <w:sz w:val="24"/>
                <w:szCs w:val="24"/>
              </w:rPr>
              <w:t>frecvenţe</w:t>
            </w:r>
            <w:proofErr w:type="spellEnd"/>
            <w:r w:rsidRPr="00346CE4">
              <w:rPr>
                <w:sz w:val="24"/>
                <w:szCs w:val="24"/>
              </w:rPr>
              <w:t xml:space="preserve"> radio cu </w:t>
            </w:r>
            <w:proofErr w:type="spellStart"/>
            <w:r w:rsidRPr="00346CE4">
              <w:rPr>
                <w:sz w:val="24"/>
                <w:szCs w:val="24"/>
              </w:rPr>
              <w:t>atribuţii</w:t>
            </w:r>
            <w:proofErr w:type="spellEnd"/>
            <w:r w:rsidRPr="00346CE4">
              <w:rPr>
                <w:sz w:val="24"/>
                <w:szCs w:val="24"/>
              </w:rPr>
              <w:t xml:space="preserve">: calculul, selectarea, avizarea, </w:t>
            </w:r>
            <w:proofErr w:type="spellStart"/>
            <w:r w:rsidRPr="00346CE4">
              <w:rPr>
                <w:sz w:val="24"/>
                <w:szCs w:val="24"/>
              </w:rPr>
              <w:t>evidenţa</w:t>
            </w:r>
            <w:proofErr w:type="spellEnd"/>
            <w:r w:rsidRPr="00346CE4">
              <w:rPr>
                <w:sz w:val="24"/>
                <w:szCs w:val="24"/>
              </w:rPr>
              <w:t xml:space="preserve"> </w:t>
            </w:r>
            <w:proofErr w:type="spellStart"/>
            <w:r w:rsidRPr="00346CE4">
              <w:rPr>
                <w:sz w:val="24"/>
                <w:szCs w:val="24"/>
              </w:rPr>
              <w:t>frecvenţelor</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stațiilor de radiocomunicații, </w:t>
            </w:r>
            <w:proofErr w:type="spellStart"/>
            <w:r w:rsidRPr="00346CE4">
              <w:rPr>
                <w:sz w:val="24"/>
                <w:szCs w:val="24"/>
              </w:rPr>
              <w:t>radiomonitoringul</w:t>
            </w:r>
            <w:proofErr w:type="spellEnd"/>
            <w:r w:rsidRPr="00346CE4">
              <w:rPr>
                <w:sz w:val="24"/>
                <w:szCs w:val="24"/>
              </w:rPr>
              <w:t xml:space="preserve"> frecvențelor radio, asigurarea </w:t>
            </w:r>
            <w:proofErr w:type="spellStart"/>
            <w:r w:rsidRPr="00346CE4">
              <w:rPr>
                <w:sz w:val="24"/>
                <w:szCs w:val="24"/>
              </w:rPr>
              <w:t>compatibilităţii</w:t>
            </w:r>
            <w:proofErr w:type="spellEnd"/>
            <w:r w:rsidRPr="00346CE4">
              <w:rPr>
                <w:sz w:val="24"/>
                <w:szCs w:val="24"/>
              </w:rPr>
              <w:t xml:space="preserve"> electromagnetice,</w:t>
            </w:r>
            <w:r w:rsidRPr="00346CE4">
              <w:rPr>
                <w:rStyle w:val="apple-converted-space"/>
                <w:sz w:val="24"/>
                <w:szCs w:val="24"/>
                <w:vertAlign w:val="subscript"/>
              </w:rPr>
              <w:t> </w:t>
            </w:r>
            <w:r w:rsidRPr="00346CE4">
              <w:rPr>
                <w:sz w:val="24"/>
                <w:szCs w:val="24"/>
              </w:rPr>
              <w:t xml:space="preserve">certificarea </w:t>
            </w:r>
            <w:proofErr w:type="spellStart"/>
            <w:r w:rsidRPr="00346CE4">
              <w:rPr>
                <w:sz w:val="24"/>
                <w:szCs w:val="24"/>
              </w:rPr>
              <w:t>şi</w:t>
            </w:r>
            <w:proofErr w:type="spellEnd"/>
            <w:r w:rsidRPr="00346CE4">
              <w:rPr>
                <w:sz w:val="24"/>
                <w:szCs w:val="24"/>
              </w:rPr>
              <w:t xml:space="preserve"> omologarea produselor de </w:t>
            </w:r>
            <w:proofErr w:type="spellStart"/>
            <w:r w:rsidRPr="00346CE4">
              <w:rPr>
                <w:sz w:val="24"/>
                <w:szCs w:val="24"/>
              </w:rPr>
              <w:t>comunicaţii</w:t>
            </w:r>
            <w:proofErr w:type="spellEnd"/>
            <w:r w:rsidRPr="00346CE4">
              <w:rPr>
                <w:sz w:val="24"/>
                <w:szCs w:val="24"/>
              </w:rPr>
              <w:t xml:space="preserve"> electronice;</w:t>
            </w:r>
          </w:p>
          <w:p w:rsidR="00346CE4" w:rsidRPr="00346CE4" w:rsidRDefault="00346CE4" w:rsidP="00346CE4">
            <w:pPr>
              <w:numPr>
                <w:ilvl w:val="0"/>
                <w:numId w:val="6"/>
              </w:numPr>
              <w:tabs>
                <w:tab w:val="left" w:pos="0"/>
                <w:tab w:val="left" w:pos="415"/>
              </w:tabs>
              <w:ind w:left="0" w:firstLine="0"/>
              <w:jc w:val="left"/>
              <w:rPr>
                <w:bCs/>
                <w:sz w:val="24"/>
                <w:szCs w:val="24"/>
              </w:rPr>
            </w:pPr>
            <w:r w:rsidRPr="00346CE4">
              <w:rPr>
                <w:sz w:val="24"/>
                <w:szCs w:val="24"/>
              </w:rPr>
              <w:t xml:space="preserve">Existența unei piețe de servicii de comunicații electronice mobile competitive, mature, cu trei furnizori care operează tehnologii 2G, 3G și 4G cu infrastructură dezvoltată și acoperire națională; </w:t>
            </w:r>
          </w:p>
          <w:p w:rsidR="00346CE4" w:rsidRPr="00346CE4" w:rsidRDefault="00346CE4" w:rsidP="00346CE4">
            <w:pPr>
              <w:numPr>
                <w:ilvl w:val="0"/>
                <w:numId w:val="6"/>
              </w:numPr>
              <w:tabs>
                <w:tab w:val="left" w:pos="0"/>
                <w:tab w:val="left" w:pos="415"/>
              </w:tabs>
              <w:ind w:left="0" w:firstLine="0"/>
              <w:jc w:val="left"/>
              <w:rPr>
                <w:bCs/>
                <w:sz w:val="24"/>
                <w:szCs w:val="24"/>
              </w:rPr>
            </w:pPr>
            <w:proofErr w:type="spellStart"/>
            <w:r w:rsidRPr="00346CE4">
              <w:rPr>
                <w:bCs/>
                <w:sz w:val="24"/>
                <w:szCs w:val="24"/>
              </w:rPr>
              <w:t>Experienţă</w:t>
            </w:r>
            <w:proofErr w:type="spellEnd"/>
            <w:r w:rsidRPr="00346CE4">
              <w:rPr>
                <w:bCs/>
                <w:sz w:val="24"/>
                <w:szCs w:val="24"/>
              </w:rPr>
              <w:t xml:space="preserve"> bogată de proiectare </w:t>
            </w:r>
            <w:proofErr w:type="spellStart"/>
            <w:r w:rsidRPr="00346CE4">
              <w:rPr>
                <w:bCs/>
                <w:sz w:val="24"/>
                <w:szCs w:val="24"/>
              </w:rPr>
              <w:t>şi</w:t>
            </w:r>
            <w:proofErr w:type="spellEnd"/>
            <w:r w:rsidRPr="00346CE4">
              <w:rPr>
                <w:bCs/>
                <w:sz w:val="24"/>
                <w:szCs w:val="24"/>
              </w:rPr>
              <w:t xml:space="preserve"> construire a </w:t>
            </w:r>
            <w:proofErr w:type="spellStart"/>
            <w:r w:rsidRPr="00346CE4">
              <w:rPr>
                <w:bCs/>
                <w:sz w:val="24"/>
                <w:szCs w:val="24"/>
              </w:rPr>
              <w:t>reţelelor</w:t>
            </w:r>
            <w:proofErr w:type="spellEnd"/>
            <w:r w:rsidRPr="00346CE4">
              <w:rPr>
                <w:bCs/>
                <w:sz w:val="24"/>
                <w:szCs w:val="24"/>
              </w:rPr>
              <w:t xml:space="preserve"> de </w:t>
            </w:r>
            <w:proofErr w:type="spellStart"/>
            <w:r w:rsidRPr="00346CE4">
              <w:rPr>
                <w:bCs/>
                <w:sz w:val="24"/>
                <w:szCs w:val="24"/>
              </w:rPr>
              <w:t>comunicaţii</w:t>
            </w:r>
            <w:proofErr w:type="spellEnd"/>
            <w:r w:rsidRPr="00346CE4">
              <w:rPr>
                <w:bCs/>
                <w:sz w:val="24"/>
                <w:szCs w:val="24"/>
              </w:rPr>
              <w:t xml:space="preserve"> electronice mobile;</w:t>
            </w:r>
          </w:p>
          <w:p w:rsidR="00346CE4" w:rsidRPr="00346CE4" w:rsidRDefault="00346CE4" w:rsidP="00346CE4">
            <w:pPr>
              <w:numPr>
                <w:ilvl w:val="0"/>
                <w:numId w:val="6"/>
              </w:numPr>
              <w:tabs>
                <w:tab w:val="left" w:pos="0"/>
                <w:tab w:val="left" w:pos="415"/>
              </w:tabs>
              <w:ind w:left="0" w:firstLine="0"/>
              <w:jc w:val="left"/>
              <w:rPr>
                <w:bCs/>
                <w:sz w:val="24"/>
                <w:szCs w:val="24"/>
              </w:rPr>
            </w:pPr>
            <w:proofErr w:type="spellStart"/>
            <w:r w:rsidRPr="00346CE4">
              <w:rPr>
                <w:sz w:val="24"/>
                <w:szCs w:val="24"/>
              </w:rPr>
              <w:t>Existenţa</w:t>
            </w:r>
            <w:proofErr w:type="spellEnd"/>
            <w:r w:rsidRPr="00346CE4">
              <w:rPr>
                <w:sz w:val="24"/>
                <w:szCs w:val="24"/>
              </w:rPr>
              <w:t xml:space="preserve"> infrastructurii terestre-turnuri, piloni, linii de transport, linii de aprovizionare cu energie electrică, </w:t>
            </w:r>
            <w:proofErr w:type="spellStart"/>
            <w:r w:rsidRPr="00346CE4">
              <w:rPr>
                <w:sz w:val="24"/>
                <w:szCs w:val="24"/>
              </w:rPr>
              <w:t>spaţii</w:t>
            </w:r>
            <w:proofErr w:type="spellEnd"/>
            <w:r w:rsidRPr="00346CE4">
              <w:rPr>
                <w:sz w:val="24"/>
                <w:szCs w:val="24"/>
              </w:rPr>
              <w:t xml:space="preserve"> tehnologice, căi de acces, echipamente </w:t>
            </w:r>
            <w:proofErr w:type="spellStart"/>
            <w:r w:rsidRPr="00346CE4">
              <w:rPr>
                <w:sz w:val="24"/>
                <w:szCs w:val="24"/>
              </w:rPr>
              <w:t>funcţionale</w:t>
            </w:r>
            <w:proofErr w:type="spellEnd"/>
            <w:r w:rsidRPr="00346CE4">
              <w:rPr>
                <w:sz w:val="24"/>
                <w:szCs w:val="24"/>
              </w:rPr>
              <w:t xml:space="preserve"> performante</w:t>
            </w:r>
          </w:p>
        </w:tc>
        <w:tc>
          <w:tcPr>
            <w:tcW w:w="2659" w:type="pct"/>
          </w:tcPr>
          <w:p w:rsidR="00346CE4" w:rsidRPr="00346CE4" w:rsidRDefault="00346CE4" w:rsidP="00346CE4">
            <w:pPr>
              <w:numPr>
                <w:ilvl w:val="0"/>
                <w:numId w:val="7"/>
              </w:numPr>
              <w:tabs>
                <w:tab w:val="left" w:pos="0"/>
                <w:tab w:val="left" w:pos="459"/>
              </w:tabs>
              <w:ind w:left="0" w:firstLine="0"/>
              <w:jc w:val="left"/>
              <w:rPr>
                <w:sz w:val="24"/>
                <w:szCs w:val="24"/>
              </w:rPr>
            </w:pPr>
            <w:r w:rsidRPr="00346CE4">
              <w:rPr>
                <w:sz w:val="24"/>
                <w:szCs w:val="24"/>
              </w:rPr>
              <w:t>Necesitatea de investiții capitale și operaționale pentru implementarea rețelelor avansate de comunicații electronice;</w:t>
            </w:r>
          </w:p>
          <w:p w:rsidR="00346CE4" w:rsidRPr="00346CE4" w:rsidRDefault="00346CE4" w:rsidP="00346CE4">
            <w:pPr>
              <w:numPr>
                <w:ilvl w:val="0"/>
                <w:numId w:val="7"/>
              </w:numPr>
              <w:tabs>
                <w:tab w:val="left" w:pos="0"/>
                <w:tab w:val="left" w:pos="459"/>
              </w:tabs>
              <w:ind w:left="0" w:firstLine="0"/>
              <w:rPr>
                <w:sz w:val="24"/>
                <w:szCs w:val="24"/>
              </w:rPr>
            </w:pPr>
            <w:r w:rsidRPr="00346CE4">
              <w:rPr>
                <w:sz w:val="24"/>
                <w:szCs w:val="24"/>
              </w:rPr>
              <w:t xml:space="preserve">Disponibilitate neomogenă a serviciilor de </w:t>
            </w:r>
            <w:proofErr w:type="spellStart"/>
            <w:r w:rsidRPr="00346CE4">
              <w:rPr>
                <w:sz w:val="24"/>
                <w:szCs w:val="24"/>
              </w:rPr>
              <w:t>comunicaţii</w:t>
            </w:r>
            <w:proofErr w:type="spellEnd"/>
            <w:r w:rsidRPr="00346CE4">
              <w:rPr>
                <w:sz w:val="24"/>
                <w:szCs w:val="24"/>
              </w:rPr>
              <w:t xml:space="preserve"> electronice mobile pe toate drumurile publice </w:t>
            </w:r>
            <w:proofErr w:type="spellStart"/>
            <w:r w:rsidRPr="00346CE4">
              <w:rPr>
                <w:sz w:val="24"/>
                <w:szCs w:val="24"/>
              </w:rPr>
              <w:t>naţionale</w:t>
            </w:r>
            <w:proofErr w:type="spellEnd"/>
            <w:r w:rsidRPr="00346CE4">
              <w:rPr>
                <w:sz w:val="24"/>
                <w:szCs w:val="24"/>
              </w:rPr>
              <w:t>;</w:t>
            </w:r>
          </w:p>
          <w:p w:rsidR="00346CE4" w:rsidRPr="00346CE4" w:rsidRDefault="00346CE4" w:rsidP="00346CE4">
            <w:pPr>
              <w:numPr>
                <w:ilvl w:val="0"/>
                <w:numId w:val="7"/>
              </w:numPr>
              <w:tabs>
                <w:tab w:val="left" w:pos="0"/>
                <w:tab w:val="left" w:pos="459"/>
              </w:tabs>
              <w:ind w:left="0" w:firstLine="0"/>
              <w:rPr>
                <w:sz w:val="24"/>
                <w:szCs w:val="24"/>
              </w:rPr>
            </w:pPr>
            <w:proofErr w:type="spellStart"/>
            <w:r w:rsidRPr="00346CE4">
              <w:rPr>
                <w:sz w:val="24"/>
                <w:szCs w:val="24"/>
              </w:rPr>
              <w:t>Insuficienţa</w:t>
            </w:r>
            <w:proofErr w:type="spellEnd"/>
            <w:r w:rsidRPr="00346CE4">
              <w:rPr>
                <w:sz w:val="24"/>
                <w:szCs w:val="24"/>
              </w:rPr>
              <w:t xml:space="preserve"> infrastructurii în mediul rural poate </w:t>
            </w:r>
            <w:proofErr w:type="spellStart"/>
            <w:r w:rsidRPr="00346CE4">
              <w:rPr>
                <w:sz w:val="24"/>
                <w:szCs w:val="24"/>
              </w:rPr>
              <w:t>menţine</w:t>
            </w:r>
            <w:proofErr w:type="spellEnd"/>
            <w:r w:rsidRPr="00346CE4">
              <w:rPr>
                <w:sz w:val="24"/>
                <w:szCs w:val="24"/>
              </w:rPr>
              <w:t xml:space="preserve"> </w:t>
            </w:r>
            <w:proofErr w:type="spellStart"/>
            <w:r w:rsidRPr="00346CE4">
              <w:rPr>
                <w:sz w:val="24"/>
                <w:szCs w:val="24"/>
              </w:rPr>
              <w:t>discrepanţele</w:t>
            </w:r>
            <w:proofErr w:type="spellEnd"/>
            <w:r w:rsidRPr="00346CE4">
              <w:rPr>
                <w:sz w:val="24"/>
                <w:szCs w:val="24"/>
              </w:rPr>
              <w:t xml:space="preserve"> mari dintre mediul urban </w:t>
            </w:r>
            <w:proofErr w:type="spellStart"/>
            <w:r w:rsidRPr="00346CE4">
              <w:rPr>
                <w:sz w:val="24"/>
                <w:szCs w:val="24"/>
              </w:rPr>
              <w:t>şi</w:t>
            </w:r>
            <w:proofErr w:type="spellEnd"/>
            <w:r w:rsidRPr="00346CE4">
              <w:rPr>
                <w:sz w:val="24"/>
                <w:szCs w:val="24"/>
              </w:rPr>
              <w:t xml:space="preserve"> cel rural privind dezvoltarea sectorului </w:t>
            </w:r>
            <w:proofErr w:type="spellStart"/>
            <w:r w:rsidRPr="00346CE4">
              <w:rPr>
                <w:sz w:val="24"/>
                <w:szCs w:val="24"/>
              </w:rPr>
              <w:t>comunicaţii</w:t>
            </w:r>
            <w:proofErr w:type="spellEnd"/>
            <w:r w:rsidRPr="00346CE4">
              <w:rPr>
                <w:sz w:val="24"/>
                <w:szCs w:val="24"/>
              </w:rPr>
              <w:t xml:space="preserve"> electronice;</w:t>
            </w:r>
          </w:p>
          <w:p w:rsidR="00346CE4" w:rsidRPr="00346CE4" w:rsidRDefault="00346CE4" w:rsidP="00346CE4">
            <w:pPr>
              <w:numPr>
                <w:ilvl w:val="0"/>
                <w:numId w:val="7"/>
              </w:numPr>
              <w:tabs>
                <w:tab w:val="left" w:pos="0"/>
                <w:tab w:val="left" w:pos="459"/>
              </w:tabs>
              <w:ind w:left="0" w:firstLine="0"/>
              <w:jc w:val="left"/>
              <w:rPr>
                <w:sz w:val="24"/>
                <w:szCs w:val="24"/>
              </w:rPr>
            </w:pPr>
            <w:r w:rsidRPr="00346CE4">
              <w:rPr>
                <w:sz w:val="24"/>
                <w:szCs w:val="24"/>
              </w:rPr>
              <w:t>Existența rețelelor de radiocomunicații ilegale neautorizate în raioanele de est ale Republicii Moldova, care funcționează parțial în baza unor aranjamente de spectru nearmonizate;</w:t>
            </w:r>
          </w:p>
          <w:p w:rsidR="00346CE4" w:rsidRPr="00346CE4" w:rsidRDefault="00346CE4" w:rsidP="00346CE4">
            <w:pPr>
              <w:numPr>
                <w:ilvl w:val="0"/>
                <w:numId w:val="7"/>
              </w:numPr>
              <w:tabs>
                <w:tab w:val="left" w:pos="0"/>
                <w:tab w:val="left" w:pos="459"/>
              </w:tabs>
              <w:ind w:left="0" w:firstLine="0"/>
              <w:jc w:val="left"/>
              <w:rPr>
                <w:sz w:val="24"/>
                <w:szCs w:val="24"/>
              </w:rPr>
            </w:pPr>
            <w:r w:rsidRPr="00346CE4">
              <w:rPr>
                <w:sz w:val="24"/>
                <w:szCs w:val="24"/>
              </w:rPr>
              <w:t>Limitele existente de reglementare a expunerii la câmpuri electromagnetice pot fi prea restrictive pentru implementarea rețelelor moderne celulare dense;</w:t>
            </w:r>
          </w:p>
          <w:p w:rsidR="00346CE4" w:rsidRPr="00346CE4" w:rsidRDefault="00346CE4" w:rsidP="00346CE4">
            <w:pPr>
              <w:numPr>
                <w:ilvl w:val="0"/>
                <w:numId w:val="7"/>
              </w:numPr>
              <w:tabs>
                <w:tab w:val="left" w:pos="0"/>
                <w:tab w:val="left" w:pos="459"/>
              </w:tabs>
              <w:ind w:left="0" w:firstLine="0"/>
              <w:jc w:val="left"/>
              <w:rPr>
                <w:sz w:val="24"/>
                <w:szCs w:val="24"/>
              </w:rPr>
            </w:pPr>
            <w:r w:rsidRPr="00346CE4">
              <w:rPr>
                <w:sz w:val="24"/>
                <w:szCs w:val="24"/>
              </w:rPr>
              <w:t>ARPU redus în sectorul mobil în comparație cu alte state europene;</w:t>
            </w:r>
          </w:p>
          <w:p w:rsidR="00346CE4" w:rsidRPr="00346CE4" w:rsidRDefault="00346CE4" w:rsidP="00346CE4">
            <w:pPr>
              <w:numPr>
                <w:ilvl w:val="0"/>
                <w:numId w:val="7"/>
              </w:numPr>
              <w:tabs>
                <w:tab w:val="left" w:pos="0"/>
                <w:tab w:val="left" w:pos="459"/>
              </w:tabs>
              <w:ind w:left="0" w:firstLine="0"/>
              <w:jc w:val="left"/>
              <w:rPr>
                <w:sz w:val="24"/>
                <w:szCs w:val="24"/>
              </w:rPr>
            </w:pPr>
            <w:r w:rsidRPr="00346CE4">
              <w:rPr>
                <w:sz w:val="24"/>
                <w:szCs w:val="24"/>
              </w:rPr>
              <w:t xml:space="preserve">Necesitatea unei noi abordări coordonate pentru promovarea investițiilor și </w:t>
            </w:r>
            <w:proofErr w:type="spellStart"/>
            <w:r w:rsidRPr="00346CE4">
              <w:rPr>
                <w:sz w:val="24"/>
                <w:szCs w:val="24"/>
              </w:rPr>
              <w:t>coinvestițiilor</w:t>
            </w:r>
            <w:proofErr w:type="spellEnd"/>
            <w:r w:rsidRPr="00346CE4">
              <w:rPr>
                <w:sz w:val="24"/>
                <w:szCs w:val="24"/>
              </w:rPr>
              <w:t xml:space="preserve"> în infrastructura de </w:t>
            </w:r>
            <w:proofErr w:type="spellStart"/>
            <w:r w:rsidRPr="00346CE4">
              <w:rPr>
                <w:sz w:val="24"/>
                <w:szCs w:val="24"/>
              </w:rPr>
              <w:t>radioacces</w:t>
            </w:r>
            <w:proofErr w:type="spellEnd"/>
            <w:r w:rsidRPr="00346CE4">
              <w:rPr>
                <w:sz w:val="24"/>
                <w:szCs w:val="24"/>
              </w:rPr>
              <w:t xml:space="preserve">, în cea optică și de microunde, incluzând accesul îmbunătățit la alte rețele și operatori de utilități, care ar permite reducerea timpului și a costurilor în implementarea </w:t>
            </w:r>
            <w:proofErr w:type="spellStart"/>
            <w:r w:rsidRPr="00346CE4">
              <w:rPr>
                <w:sz w:val="24"/>
                <w:szCs w:val="24"/>
              </w:rPr>
              <w:t>reţelei</w:t>
            </w:r>
            <w:proofErr w:type="spellEnd"/>
            <w:r w:rsidRPr="00346CE4">
              <w:rPr>
                <w:sz w:val="24"/>
                <w:szCs w:val="24"/>
              </w:rPr>
              <w:t xml:space="preserve"> noi</w:t>
            </w:r>
          </w:p>
        </w:tc>
      </w:tr>
      <w:tr w:rsidR="00346CE4" w:rsidRPr="00346CE4" w:rsidTr="0068170A">
        <w:trPr>
          <w:trHeight w:val="561"/>
        </w:trPr>
        <w:tc>
          <w:tcPr>
            <w:tcW w:w="2341" w:type="pct"/>
            <w:shd w:val="clear" w:color="auto" w:fill="auto"/>
            <w:vAlign w:val="center"/>
          </w:tcPr>
          <w:p w:rsidR="00346CE4" w:rsidRPr="00346CE4" w:rsidRDefault="00346CE4" w:rsidP="00346CE4">
            <w:pPr>
              <w:tabs>
                <w:tab w:val="left" w:pos="1134"/>
              </w:tabs>
              <w:ind w:firstLine="0"/>
              <w:jc w:val="center"/>
              <w:rPr>
                <w:b/>
                <w:bCs/>
                <w:sz w:val="24"/>
                <w:szCs w:val="24"/>
              </w:rPr>
            </w:pPr>
            <w:proofErr w:type="spellStart"/>
            <w:r w:rsidRPr="00346CE4">
              <w:rPr>
                <w:b/>
                <w:bCs/>
                <w:sz w:val="24"/>
                <w:szCs w:val="24"/>
              </w:rPr>
              <w:t>Oportunităţi</w:t>
            </w:r>
            <w:proofErr w:type="spellEnd"/>
            <w:r w:rsidRPr="00346CE4">
              <w:rPr>
                <w:b/>
                <w:bCs/>
                <w:sz w:val="24"/>
                <w:szCs w:val="24"/>
              </w:rPr>
              <w:t xml:space="preserve"> (</w:t>
            </w:r>
            <w:proofErr w:type="spellStart"/>
            <w:r w:rsidRPr="00346CE4">
              <w:rPr>
                <w:b/>
                <w:bCs/>
                <w:sz w:val="24"/>
                <w:szCs w:val="24"/>
              </w:rPr>
              <w:t>Opportunities</w:t>
            </w:r>
            <w:proofErr w:type="spellEnd"/>
            <w:r w:rsidRPr="00346CE4">
              <w:rPr>
                <w:b/>
                <w:bCs/>
                <w:sz w:val="24"/>
                <w:szCs w:val="24"/>
              </w:rPr>
              <w:t>):</w:t>
            </w:r>
          </w:p>
        </w:tc>
        <w:tc>
          <w:tcPr>
            <w:tcW w:w="2659" w:type="pct"/>
            <w:shd w:val="clear" w:color="auto" w:fill="auto"/>
            <w:vAlign w:val="center"/>
          </w:tcPr>
          <w:p w:rsidR="00346CE4" w:rsidRPr="00346CE4" w:rsidRDefault="00346CE4" w:rsidP="00346CE4">
            <w:pPr>
              <w:tabs>
                <w:tab w:val="left" w:pos="1134"/>
              </w:tabs>
              <w:ind w:firstLine="0"/>
              <w:jc w:val="center"/>
              <w:rPr>
                <w:b/>
                <w:sz w:val="24"/>
                <w:szCs w:val="24"/>
              </w:rPr>
            </w:pPr>
            <w:r w:rsidRPr="00346CE4">
              <w:rPr>
                <w:b/>
                <w:sz w:val="24"/>
                <w:szCs w:val="24"/>
              </w:rPr>
              <w:t>Riscuri/Pericole (</w:t>
            </w:r>
            <w:proofErr w:type="spellStart"/>
            <w:r w:rsidRPr="00346CE4">
              <w:rPr>
                <w:b/>
                <w:sz w:val="24"/>
                <w:szCs w:val="24"/>
              </w:rPr>
              <w:t>Threats</w:t>
            </w:r>
            <w:proofErr w:type="spellEnd"/>
            <w:r w:rsidRPr="00346CE4">
              <w:rPr>
                <w:b/>
                <w:sz w:val="24"/>
                <w:szCs w:val="24"/>
              </w:rPr>
              <w:t>):</w:t>
            </w:r>
          </w:p>
        </w:tc>
      </w:tr>
      <w:tr w:rsidR="00346CE4" w:rsidRPr="00346CE4" w:rsidTr="0068170A">
        <w:trPr>
          <w:trHeight w:val="1161"/>
        </w:trPr>
        <w:tc>
          <w:tcPr>
            <w:tcW w:w="2341" w:type="pct"/>
          </w:tcPr>
          <w:p w:rsidR="00346CE4" w:rsidRPr="00346CE4" w:rsidRDefault="00346CE4" w:rsidP="00346CE4">
            <w:pPr>
              <w:numPr>
                <w:ilvl w:val="0"/>
                <w:numId w:val="8"/>
              </w:numPr>
              <w:tabs>
                <w:tab w:val="left" w:pos="0"/>
                <w:tab w:val="left" w:pos="459"/>
              </w:tabs>
              <w:ind w:left="0" w:firstLine="0"/>
              <w:jc w:val="left"/>
              <w:rPr>
                <w:sz w:val="24"/>
                <w:szCs w:val="24"/>
              </w:rPr>
            </w:pPr>
            <w:r w:rsidRPr="00346CE4">
              <w:rPr>
                <w:sz w:val="24"/>
                <w:szCs w:val="24"/>
              </w:rPr>
              <w:t xml:space="preserve">Cadrul legal în domeniul gestionării spectrului de </w:t>
            </w:r>
            <w:proofErr w:type="spellStart"/>
            <w:r w:rsidRPr="00346CE4">
              <w:rPr>
                <w:sz w:val="24"/>
                <w:szCs w:val="24"/>
              </w:rPr>
              <w:t>frecvenţe</w:t>
            </w:r>
            <w:proofErr w:type="spellEnd"/>
            <w:r w:rsidRPr="00346CE4">
              <w:rPr>
                <w:sz w:val="24"/>
                <w:szCs w:val="24"/>
              </w:rPr>
              <w:t xml:space="preserve"> radio este armonizat cu </w:t>
            </w:r>
            <w:proofErr w:type="spellStart"/>
            <w:r w:rsidRPr="00346CE4">
              <w:rPr>
                <w:sz w:val="24"/>
                <w:szCs w:val="24"/>
              </w:rPr>
              <w:t>legislaţia</w:t>
            </w:r>
            <w:proofErr w:type="spellEnd"/>
            <w:r w:rsidRPr="00346CE4">
              <w:rPr>
                <w:sz w:val="24"/>
                <w:szCs w:val="24"/>
              </w:rPr>
              <w:t xml:space="preserve"> UE </w:t>
            </w:r>
            <w:proofErr w:type="spellStart"/>
            <w:r w:rsidRPr="00346CE4">
              <w:rPr>
                <w:sz w:val="24"/>
                <w:szCs w:val="24"/>
              </w:rPr>
              <w:t>şi</w:t>
            </w:r>
            <w:proofErr w:type="spellEnd"/>
            <w:r w:rsidRPr="00346CE4">
              <w:rPr>
                <w:sz w:val="24"/>
                <w:szCs w:val="24"/>
              </w:rPr>
              <w:t xml:space="preserve"> asigură un mediu </w:t>
            </w:r>
            <w:proofErr w:type="spellStart"/>
            <w:r w:rsidRPr="00346CE4">
              <w:rPr>
                <w:sz w:val="24"/>
                <w:szCs w:val="24"/>
              </w:rPr>
              <w:t>concurenţial</w:t>
            </w:r>
            <w:proofErr w:type="spellEnd"/>
            <w:r w:rsidRPr="00346CE4">
              <w:rPr>
                <w:sz w:val="24"/>
                <w:szCs w:val="24"/>
              </w:rPr>
              <w:t xml:space="preserve"> favorabil;</w:t>
            </w:r>
          </w:p>
          <w:p w:rsidR="00346CE4" w:rsidRPr="00346CE4" w:rsidRDefault="00346CE4" w:rsidP="00346CE4">
            <w:pPr>
              <w:numPr>
                <w:ilvl w:val="0"/>
                <w:numId w:val="8"/>
              </w:numPr>
              <w:tabs>
                <w:tab w:val="left" w:pos="0"/>
                <w:tab w:val="left" w:pos="459"/>
              </w:tabs>
              <w:ind w:left="0" w:firstLine="0"/>
              <w:jc w:val="left"/>
              <w:rPr>
                <w:sz w:val="24"/>
                <w:szCs w:val="24"/>
              </w:rPr>
            </w:pPr>
            <w:r w:rsidRPr="00346CE4">
              <w:rPr>
                <w:sz w:val="24"/>
                <w:szCs w:val="24"/>
              </w:rPr>
              <w:t xml:space="preserve">Cererea sporită de resurse de </w:t>
            </w:r>
            <w:proofErr w:type="spellStart"/>
            <w:r w:rsidRPr="00346CE4">
              <w:rPr>
                <w:sz w:val="24"/>
                <w:szCs w:val="24"/>
              </w:rPr>
              <w:t>frecvenţe</w:t>
            </w:r>
            <w:proofErr w:type="spellEnd"/>
            <w:r w:rsidRPr="00346CE4">
              <w:rPr>
                <w:sz w:val="24"/>
                <w:szCs w:val="24"/>
              </w:rPr>
              <w:t xml:space="preserve"> radio pentru implementarea tehnologiilor avansate;</w:t>
            </w:r>
          </w:p>
          <w:p w:rsidR="00346CE4" w:rsidRPr="00346CE4" w:rsidRDefault="00346CE4" w:rsidP="00346CE4">
            <w:pPr>
              <w:numPr>
                <w:ilvl w:val="0"/>
                <w:numId w:val="8"/>
              </w:numPr>
              <w:tabs>
                <w:tab w:val="left" w:pos="0"/>
                <w:tab w:val="left" w:pos="459"/>
              </w:tabs>
              <w:ind w:left="0" w:firstLine="0"/>
              <w:jc w:val="left"/>
              <w:rPr>
                <w:sz w:val="24"/>
                <w:szCs w:val="24"/>
              </w:rPr>
            </w:pPr>
            <w:r w:rsidRPr="00346CE4">
              <w:rPr>
                <w:sz w:val="24"/>
                <w:szCs w:val="24"/>
              </w:rPr>
              <w:t xml:space="preserve">Mediul </w:t>
            </w:r>
            <w:proofErr w:type="spellStart"/>
            <w:r w:rsidRPr="00346CE4">
              <w:rPr>
                <w:sz w:val="24"/>
                <w:szCs w:val="24"/>
              </w:rPr>
              <w:t>investiţional</w:t>
            </w:r>
            <w:proofErr w:type="spellEnd"/>
            <w:r w:rsidRPr="00346CE4">
              <w:rPr>
                <w:sz w:val="24"/>
                <w:szCs w:val="24"/>
              </w:rPr>
              <w:t xml:space="preserve"> propice implementării tehnologiilor avansate 5G;</w:t>
            </w:r>
          </w:p>
          <w:p w:rsidR="00346CE4" w:rsidRPr="00346CE4" w:rsidRDefault="00346CE4" w:rsidP="00346CE4">
            <w:pPr>
              <w:numPr>
                <w:ilvl w:val="0"/>
                <w:numId w:val="8"/>
              </w:numPr>
              <w:tabs>
                <w:tab w:val="left" w:pos="0"/>
                <w:tab w:val="left" w:pos="459"/>
              </w:tabs>
              <w:ind w:left="0" w:firstLine="0"/>
              <w:jc w:val="left"/>
              <w:rPr>
                <w:b/>
                <w:bCs/>
                <w:sz w:val="24"/>
                <w:szCs w:val="24"/>
              </w:rPr>
            </w:pPr>
            <w:r w:rsidRPr="00346CE4">
              <w:rPr>
                <w:sz w:val="24"/>
                <w:szCs w:val="24"/>
              </w:rPr>
              <w:t xml:space="preserve">Deciziile la nivel </w:t>
            </w:r>
            <w:proofErr w:type="spellStart"/>
            <w:r w:rsidRPr="00346CE4">
              <w:rPr>
                <w:sz w:val="24"/>
                <w:szCs w:val="24"/>
              </w:rPr>
              <w:t>internaţional</w:t>
            </w:r>
            <w:proofErr w:type="spellEnd"/>
            <w:r w:rsidRPr="00346CE4">
              <w:rPr>
                <w:sz w:val="24"/>
                <w:szCs w:val="24"/>
              </w:rPr>
              <w:t xml:space="preserve"> în vederea eliberării spectrului de </w:t>
            </w:r>
            <w:proofErr w:type="spellStart"/>
            <w:r w:rsidRPr="00346CE4">
              <w:rPr>
                <w:sz w:val="24"/>
                <w:szCs w:val="24"/>
              </w:rPr>
              <w:t>frecvenţe</w:t>
            </w:r>
            <w:proofErr w:type="spellEnd"/>
            <w:r w:rsidRPr="00346CE4">
              <w:rPr>
                <w:sz w:val="24"/>
                <w:szCs w:val="24"/>
              </w:rPr>
              <w:t xml:space="preserve"> radio pentru implementarea serviciilor publice de </w:t>
            </w:r>
            <w:proofErr w:type="spellStart"/>
            <w:r w:rsidRPr="00346CE4">
              <w:rPr>
                <w:sz w:val="24"/>
                <w:szCs w:val="24"/>
              </w:rPr>
              <w:t>comunicaţii</w:t>
            </w:r>
            <w:proofErr w:type="spellEnd"/>
            <w:r w:rsidRPr="00346CE4">
              <w:rPr>
                <w:sz w:val="24"/>
                <w:szCs w:val="24"/>
              </w:rPr>
              <w:t xml:space="preserve"> electronice mobile;</w:t>
            </w:r>
          </w:p>
          <w:p w:rsidR="00346CE4" w:rsidRPr="00346CE4" w:rsidRDefault="00346CE4" w:rsidP="00346CE4">
            <w:pPr>
              <w:numPr>
                <w:ilvl w:val="0"/>
                <w:numId w:val="8"/>
              </w:numPr>
              <w:tabs>
                <w:tab w:val="left" w:pos="0"/>
                <w:tab w:val="left" w:pos="459"/>
              </w:tabs>
              <w:ind w:left="0" w:firstLine="0"/>
              <w:jc w:val="left"/>
              <w:rPr>
                <w:sz w:val="24"/>
                <w:szCs w:val="24"/>
              </w:rPr>
            </w:pPr>
            <w:r w:rsidRPr="00346CE4">
              <w:rPr>
                <w:sz w:val="24"/>
                <w:szCs w:val="24"/>
              </w:rPr>
              <w:t>Recomandările UIT, Deciziile CEPT etc.;</w:t>
            </w:r>
          </w:p>
          <w:p w:rsidR="00346CE4" w:rsidRPr="00346CE4" w:rsidRDefault="00346CE4" w:rsidP="00346CE4">
            <w:pPr>
              <w:numPr>
                <w:ilvl w:val="0"/>
                <w:numId w:val="8"/>
              </w:numPr>
              <w:tabs>
                <w:tab w:val="left" w:pos="0"/>
                <w:tab w:val="left" w:pos="459"/>
              </w:tabs>
              <w:ind w:left="0" w:firstLine="0"/>
              <w:jc w:val="left"/>
              <w:rPr>
                <w:sz w:val="24"/>
                <w:szCs w:val="24"/>
              </w:rPr>
            </w:pPr>
            <w:r w:rsidRPr="00346CE4">
              <w:rPr>
                <w:sz w:val="24"/>
                <w:szCs w:val="24"/>
              </w:rPr>
              <w:lastRenderedPageBreak/>
              <w:t xml:space="preserve">Amplasarea geografică </w:t>
            </w:r>
            <w:proofErr w:type="spellStart"/>
            <w:r w:rsidRPr="00346CE4">
              <w:rPr>
                <w:sz w:val="24"/>
                <w:szCs w:val="24"/>
              </w:rPr>
              <w:t>şi</w:t>
            </w:r>
            <w:proofErr w:type="spellEnd"/>
            <w:r w:rsidRPr="00346CE4">
              <w:rPr>
                <w:sz w:val="24"/>
                <w:szCs w:val="24"/>
              </w:rPr>
              <w:t xml:space="preserve"> densitatea înaltă a </w:t>
            </w:r>
            <w:proofErr w:type="spellStart"/>
            <w:r w:rsidRPr="00346CE4">
              <w:rPr>
                <w:sz w:val="24"/>
                <w:szCs w:val="24"/>
              </w:rPr>
              <w:t>populaţiei</w:t>
            </w:r>
            <w:proofErr w:type="spellEnd"/>
            <w:r w:rsidRPr="00346CE4">
              <w:rPr>
                <w:sz w:val="24"/>
                <w:szCs w:val="24"/>
              </w:rPr>
              <w:t xml:space="preserve"> în mediul urban, factori favorabili pentru implementarea tehnologiilor avansate;</w:t>
            </w:r>
          </w:p>
          <w:p w:rsidR="00346CE4" w:rsidRPr="00346CE4" w:rsidRDefault="00346CE4" w:rsidP="00346CE4">
            <w:pPr>
              <w:numPr>
                <w:ilvl w:val="0"/>
                <w:numId w:val="8"/>
              </w:numPr>
              <w:tabs>
                <w:tab w:val="left" w:pos="0"/>
                <w:tab w:val="left" w:pos="459"/>
              </w:tabs>
              <w:ind w:left="0" w:firstLine="0"/>
              <w:jc w:val="left"/>
              <w:rPr>
                <w:sz w:val="24"/>
                <w:szCs w:val="24"/>
              </w:rPr>
            </w:pPr>
            <w:r w:rsidRPr="00346CE4">
              <w:rPr>
                <w:sz w:val="24"/>
                <w:szCs w:val="24"/>
              </w:rPr>
              <w:t>Disponibilitatea unor resurse de spectru care pot fi utilizate pentru acordare furnizorilor de rețele mobile pentru a stimula dezvoltarea serviciilor 4G/5G;</w:t>
            </w:r>
          </w:p>
          <w:p w:rsidR="00346CE4" w:rsidRPr="00346CE4" w:rsidRDefault="00346CE4" w:rsidP="00346CE4">
            <w:pPr>
              <w:numPr>
                <w:ilvl w:val="0"/>
                <w:numId w:val="8"/>
              </w:numPr>
              <w:tabs>
                <w:tab w:val="left" w:pos="0"/>
                <w:tab w:val="left" w:pos="459"/>
              </w:tabs>
              <w:ind w:left="0" w:firstLine="0"/>
              <w:jc w:val="left"/>
              <w:rPr>
                <w:b/>
                <w:sz w:val="24"/>
                <w:szCs w:val="24"/>
              </w:rPr>
            </w:pPr>
            <w:r w:rsidRPr="00346CE4">
              <w:rPr>
                <w:sz w:val="24"/>
                <w:szCs w:val="24"/>
              </w:rPr>
              <w:t>Multe benzi de frecvență vizate de Programul dat sunt în prezent neutilizate și, prin urmare, nu este necesară relocarea/</w:t>
            </w:r>
            <w:proofErr w:type="spellStart"/>
            <w:r w:rsidRPr="00346CE4">
              <w:rPr>
                <w:sz w:val="24"/>
                <w:szCs w:val="24"/>
              </w:rPr>
              <w:t>refarmingul</w:t>
            </w:r>
            <w:proofErr w:type="spellEnd"/>
            <w:r w:rsidRPr="00346CE4">
              <w:rPr>
                <w:sz w:val="24"/>
                <w:szCs w:val="24"/>
              </w:rPr>
              <w:t xml:space="preserve"> spectrului</w:t>
            </w:r>
          </w:p>
        </w:tc>
        <w:tc>
          <w:tcPr>
            <w:tcW w:w="2659" w:type="pct"/>
          </w:tcPr>
          <w:p w:rsidR="00346CE4" w:rsidRPr="00346CE4" w:rsidRDefault="00346CE4" w:rsidP="00346CE4">
            <w:pPr>
              <w:pStyle w:val="ab"/>
              <w:numPr>
                <w:ilvl w:val="0"/>
                <w:numId w:val="9"/>
              </w:numPr>
              <w:tabs>
                <w:tab w:val="left" w:pos="0"/>
                <w:tab w:val="left" w:pos="428"/>
              </w:tabs>
              <w:ind w:left="0" w:firstLine="0"/>
              <w:contextualSpacing w:val="0"/>
              <w:jc w:val="left"/>
              <w:rPr>
                <w:bCs/>
                <w:sz w:val="24"/>
                <w:szCs w:val="24"/>
              </w:rPr>
            </w:pPr>
            <w:r w:rsidRPr="00346CE4">
              <w:rPr>
                <w:bCs/>
                <w:sz w:val="24"/>
                <w:szCs w:val="24"/>
              </w:rPr>
              <w:lastRenderedPageBreak/>
              <w:t>Evoluția demografică negativă în Republica Moldova;</w:t>
            </w:r>
          </w:p>
          <w:p w:rsidR="00346CE4" w:rsidRPr="00346CE4" w:rsidRDefault="00346CE4" w:rsidP="00346CE4">
            <w:pPr>
              <w:pStyle w:val="ab"/>
              <w:numPr>
                <w:ilvl w:val="0"/>
                <w:numId w:val="9"/>
              </w:numPr>
              <w:tabs>
                <w:tab w:val="left" w:pos="0"/>
                <w:tab w:val="left" w:pos="428"/>
              </w:tabs>
              <w:ind w:left="0" w:firstLine="0"/>
              <w:contextualSpacing w:val="0"/>
              <w:jc w:val="left"/>
              <w:rPr>
                <w:bCs/>
                <w:sz w:val="24"/>
                <w:szCs w:val="24"/>
              </w:rPr>
            </w:pPr>
            <w:r w:rsidRPr="00346CE4">
              <w:rPr>
                <w:bCs/>
                <w:sz w:val="24"/>
                <w:szCs w:val="24"/>
              </w:rPr>
              <w:t xml:space="preserve">Sunt posibile </w:t>
            </w:r>
            <w:proofErr w:type="spellStart"/>
            <w:r w:rsidRPr="00346CE4">
              <w:rPr>
                <w:bCs/>
                <w:sz w:val="24"/>
                <w:szCs w:val="24"/>
              </w:rPr>
              <w:t>interferenţe</w:t>
            </w:r>
            <w:proofErr w:type="spellEnd"/>
            <w:r w:rsidRPr="00346CE4">
              <w:rPr>
                <w:bCs/>
                <w:sz w:val="24"/>
                <w:szCs w:val="24"/>
              </w:rPr>
              <w:t xml:space="preserve"> mutuale în zonele de frontieră în cazul lipsei unui acord privind utilizarea armonizată a canalelor/</w:t>
            </w:r>
            <w:proofErr w:type="spellStart"/>
            <w:r w:rsidRPr="00346CE4">
              <w:rPr>
                <w:bCs/>
                <w:sz w:val="24"/>
                <w:szCs w:val="24"/>
              </w:rPr>
              <w:t>frecvenţelor</w:t>
            </w:r>
            <w:proofErr w:type="spellEnd"/>
            <w:r w:rsidRPr="00346CE4">
              <w:rPr>
                <w:bCs/>
                <w:sz w:val="24"/>
                <w:szCs w:val="24"/>
              </w:rPr>
              <w:t xml:space="preserve"> în aceste zone;</w:t>
            </w:r>
          </w:p>
          <w:p w:rsidR="00346CE4" w:rsidRPr="00346CE4" w:rsidRDefault="00346CE4" w:rsidP="00346CE4">
            <w:pPr>
              <w:pStyle w:val="ab"/>
              <w:numPr>
                <w:ilvl w:val="0"/>
                <w:numId w:val="9"/>
              </w:numPr>
              <w:tabs>
                <w:tab w:val="left" w:pos="0"/>
                <w:tab w:val="left" w:pos="428"/>
              </w:tabs>
              <w:ind w:left="0" w:firstLine="0"/>
              <w:contextualSpacing w:val="0"/>
              <w:jc w:val="left"/>
              <w:rPr>
                <w:bCs/>
                <w:sz w:val="24"/>
                <w:szCs w:val="24"/>
              </w:rPr>
            </w:pPr>
            <w:r w:rsidRPr="00346CE4">
              <w:rPr>
                <w:bCs/>
                <w:sz w:val="24"/>
                <w:szCs w:val="24"/>
              </w:rPr>
              <w:t>În cazul continuării utilizării televiziunii terestre în raioanele de est ale Republicii Moldova în banda 700 MHz, posibilitatea implementării rețelelor de comunicații mobile de bandă largă vor fi constrânse semnificativ;</w:t>
            </w:r>
          </w:p>
          <w:p w:rsidR="00346CE4" w:rsidRPr="00346CE4" w:rsidRDefault="00346CE4" w:rsidP="00346CE4">
            <w:pPr>
              <w:pStyle w:val="ab"/>
              <w:numPr>
                <w:ilvl w:val="0"/>
                <w:numId w:val="9"/>
              </w:numPr>
              <w:tabs>
                <w:tab w:val="left" w:pos="0"/>
                <w:tab w:val="left" w:pos="428"/>
              </w:tabs>
              <w:ind w:left="0" w:firstLine="0"/>
              <w:contextualSpacing w:val="0"/>
              <w:jc w:val="left"/>
              <w:rPr>
                <w:i/>
                <w:sz w:val="24"/>
                <w:szCs w:val="24"/>
              </w:rPr>
            </w:pPr>
            <w:proofErr w:type="spellStart"/>
            <w:r w:rsidRPr="00346CE4">
              <w:rPr>
                <w:sz w:val="24"/>
                <w:szCs w:val="24"/>
              </w:rPr>
              <w:t>Staţiile</w:t>
            </w:r>
            <w:proofErr w:type="spellEnd"/>
            <w:r w:rsidRPr="00346CE4">
              <w:rPr>
                <w:sz w:val="24"/>
                <w:szCs w:val="24"/>
              </w:rPr>
              <w:t xml:space="preserve"> de </w:t>
            </w:r>
            <w:proofErr w:type="spellStart"/>
            <w:r w:rsidRPr="00346CE4">
              <w:rPr>
                <w:sz w:val="24"/>
                <w:szCs w:val="24"/>
              </w:rPr>
              <w:t>radiocomunicaţii</w:t>
            </w:r>
            <w:proofErr w:type="spellEnd"/>
            <w:r w:rsidRPr="00346CE4">
              <w:rPr>
                <w:sz w:val="24"/>
                <w:szCs w:val="24"/>
              </w:rPr>
              <w:t xml:space="preserve"> din Republica Moldova ce vor </w:t>
            </w:r>
            <w:proofErr w:type="spellStart"/>
            <w:r w:rsidRPr="00346CE4">
              <w:rPr>
                <w:sz w:val="24"/>
                <w:szCs w:val="24"/>
              </w:rPr>
              <w:t>funcţiona</w:t>
            </w:r>
            <w:proofErr w:type="spellEnd"/>
            <w:r w:rsidRPr="00346CE4">
              <w:rPr>
                <w:sz w:val="24"/>
                <w:szCs w:val="24"/>
              </w:rPr>
              <w:t xml:space="preserve"> în banda de </w:t>
            </w:r>
            <w:proofErr w:type="spellStart"/>
            <w:r w:rsidRPr="00346CE4">
              <w:rPr>
                <w:sz w:val="24"/>
                <w:szCs w:val="24"/>
              </w:rPr>
              <w:t>frecvenţe</w:t>
            </w:r>
            <w:proofErr w:type="spellEnd"/>
            <w:r w:rsidRPr="00346CE4">
              <w:rPr>
                <w:sz w:val="24"/>
                <w:szCs w:val="24"/>
              </w:rPr>
              <w:t xml:space="preserve"> 880-890 / 925-935 MHz pot fi afectate de către stațiile din cadrul rețelei CDMA din raioanele de est ale Republicii Moldova;</w:t>
            </w:r>
          </w:p>
          <w:p w:rsidR="00346CE4" w:rsidRPr="00346CE4" w:rsidRDefault="00346CE4" w:rsidP="00346CE4">
            <w:pPr>
              <w:pStyle w:val="ab"/>
              <w:numPr>
                <w:ilvl w:val="0"/>
                <w:numId w:val="9"/>
              </w:numPr>
              <w:tabs>
                <w:tab w:val="left" w:pos="0"/>
                <w:tab w:val="left" w:pos="428"/>
              </w:tabs>
              <w:ind w:left="0" w:firstLine="0"/>
              <w:contextualSpacing w:val="0"/>
              <w:jc w:val="left"/>
              <w:rPr>
                <w:sz w:val="24"/>
                <w:szCs w:val="24"/>
              </w:rPr>
            </w:pPr>
            <w:r w:rsidRPr="00346CE4">
              <w:rPr>
                <w:sz w:val="24"/>
                <w:szCs w:val="24"/>
              </w:rPr>
              <w:lastRenderedPageBreak/>
              <w:t xml:space="preserve">Este posibilă nesolicitarea resurselor de spectru de </w:t>
            </w:r>
            <w:proofErr w:type="spellStart"/>
            <w:r w:rsidRPr="00346CE4">
              <w:rPr>
                <w:sz w:val="24"/>
                <w:szCs w:val="24"/>
              </w:rPr>
              <w:t>frecvenţe</w:t>
            </w:r>
            <w:proofErr w:type="spellEnd"/>
            <w:r w:rsidRPr="00346CE4">
              <w:rPr>
                <w:sz w:val="24"/>
                <w:szCs w:val="24"/>
              </w:rPr>
              <w:t xml:space="preserve"> radio;</w:t>
            </w:r>
          </w:p>
          <w:p w:rsidR="00346CE4" w:rsidRPr="00346CE4" w:rsidRDefault="00346CE4" w:rsidP="00346CE4">
            <w:pPr>
              <w:pStyle w:val="ab"/>
              <w:numPr>
                <w:ilvl w:val="0"/>
                <w:numId w:val="9"/>
              </w:numPr>
              <w:tabs>
                <w:tab w:val="left" w:pos="0"/>
                <w:tab w:val="left" w:pos="428"/>
              </w:tabs>
              <w:ind w:left="0" w:firstLine="0"/>
              <w:contextualSpacing w:val="0"/>
              <w:jc w:val="left"/>
              <w:rPr>
                <w:sz w:val="24"/>
                <w:szCs w:val="24"/>
              </w:rPr>
            </w:pPr>
            <w:r w:rsidRPr="00346CE4">
              <w:rPr>
                <w:sz w:val="24"/>
                <w:szCs w:val="24"/>
              </w:rPr>
              <w:t xml:space="preserve">Nu vor fi identificate resurse financiare pentru dezvoltarea sectorului, iar costul </w:t>
            </w:r>
            <w:proofErr w:type="spellStart"/>
            <w:r w:rsidRPr="00346CE4">
              <w:rPr>
                <w:sz w:val="24"/>
                <w:szCs w:val="24"/>
              </w:rPr>
              <w:t>investiţiilor</w:t>
            </w:r>
            <w:proofErr w:type="spellEnd"/>
            <w:r w:rsidRPr="00346CE4">
              <w:rPr>
                <w:sz w:val="24"/>
                <w:szCs w:val="24"/>
              </w:rPr>
              <w:t xml:space="preserve"> va fi în continuare înalt;</w:t>
            </w:r>
          </w:p>
          <w:p w:rsidR="00346CE4" w:rsidRPr="00346CE4" w:rsidRDefault="00346CE4" w:rsidP="00346CE4">
            <w:pPr>
              <w:pStyle w:val="ab"/>
              <w:numPr>
                <w:ilvl w:val="0"/>
                <w:numId w:val="9"/>
              </w:numPr>
              <w:tabs>
                <w:tab w:val="left" w:pos="0"/>
                <w:tab w:val="left" w:pos="428"/>
              </w:tabs>
              <w:ind w:left="0" w:firstLine="0"/>
              <w:contextualSpacing w:val="0"/>
              <w:jc w:val="left"/>
              <w:rPr>
                <w:sz w:val="24"/>
                <w:szCs w:val="24"/>
              </w:rPr>
            </w:pPr>
            <w:r w:rsidRPr="00346CE4">
              <w:rPr>
                <w:sz w:val="24"/>
                <w:szCs w:val="24"/>
              </w:rPr>
              <w:t>Valorificarea neautorizată a unor resurse de spectru de către furnizorii din raioanele de est ale Republicii Moldova;</w:t>
            </w:r>
          </w:p>
          <w:p w:rsidR="00346CE4" w:rsidRPr="00346CE4" w:rsidRDefault="00346CE4" w:rsidP="00346CE4">
            <w:pPr>
              <w:pStyle w:val="ab"/>
              <w:numPr>
                <w:ilvl w:val="0"/>
                <w:numId w:val="9"/>
              </w:numPr>
              <w:tabs>
                <w:tab w:val="left" w:pos="0"/>
                <w:tab w:val="left" w:pos="428"/>
              </w:tabs>
              <w:ind w:left="0" w:firstLine="0"/>
              <w:contextualSpacing w:val="0"/>
              <w:jc w:val="left"/>
              <w:rPr>
                <w:sz w:val="24"/>
                <w:szCs w:val="24"/>
              </w:rPr>
            </w:pPr>
            <w:r w:rsidRPr="00346CE4">
              <w:rPr>
                <w:sz w:val="24"/>
                <w:szCs w:val="24"/>
              </w:rPr>
              <w:t>Interferențe din partea dispozitivelor DECT 6.0 din banda de 2100 MHz;</w:t>
            </w:r>
          </w:p>
          <w:p w:rsidR="00346CE4" w:rsidRPr="00346CE4" w:rsidRDefault="00346CE4" w:rsidP="00346CE4">
            <w:pPr>
              <w:pStyle w:val="ab"/>
              <w:numPr>
                <w:ilvl w:val="0"/>
                <w:numId w:val="9"/>
              </w:numPr>
              <w:tabs>
                <w:tab w:val="left" w:pos="0"/>
                <w:tab w:val="left" w:pos="428"/>
              </w:tabs>
              <w:ind w:left="0" w:firstLine="0"/>
              <w:contextualSpacing w:val="0"/>
              <w:jc w:val="left"/>
              <w:rPr>
                <w:sz w:val="24"/>
                <w:szCs w:val="24"/>
              </w:rPr>
            </w:pPr>
            <w:r w:rsidRPr="00346CE4">
              <w:rPr>
                <w:sz w:val="24"/>
                <w:szCs w:val="24"/>
              </w:rPr>
              <w:t>Necesitatea limitării suplimentare pe o perioadă de timp a nivelului intensității câmpului electromagnetic la hotar cu Ucraina în benzile 700 MHz și 1500 MHz până la armonizarea utilizării de către Ucraina a acestor benzi cu cadrul normativ CEPT</w:t>
            </w:r>
          </w:p>
        </w:tc>
      </w:tr>
    </w:tbl>
    <w:p w:rsidR="00346CE4" w:rsidRPr="00346CE4" w:rsidRDefault="00346CE4" w:rsidP="00346CE4">
      <w:pPr>
        <w:tabs>
          <w:tab w:val="left" w:pos="1134"/>
        </w:tabs>
        <w:rPr>
          <w:sz w:val="24"/>
          <w:szCs w:val="24"/>
        </w:rPr>
      </w:pPr>
    </w:p>
    <w:p w:rsidR="00346CE4" w:rsidRPr="00346CE4" w:rsidRDefault="00346CE4" w:rsidP="00346CE4">
      <w:pPr>
        <w:tabs>
          <w:tab w:val="left" w:pos="0"/>
        </w:tabs>
        <w:ind w:firstLine="720"/>
        <w:rPr>
          <w:sz w:val="24"/>
          <w:szCs w:val="24"/>
        </w:rPr>
      </w:pPr>
      <w:r w:rsidRPr="00346CE4">
        <w:rPr>
          <w:sz w:val="24"/>
          <w:szCs w:val="24"/>
        </w:rPr>
        <w:t>2) Analizând tabelul SWOT, s-ar putea trage următoarele concluzii pentru o valorificare mai bună a punctelor forte și a oportunităților identificate, în timp ce ar fi atenuate punctele slabe și ar fi gestionate riscurile și pericolele:</w:t>
      </w:r>
    </w:p>
    <w:p w:rsidR="00346CE4" w:rsidRPr="00346CE4" w:rsidRDefault="00346CE4" w:rsidP="00346CE4">
      <w:pPr>
        <w:numPr>
          <w:ilvl w:val="0"/>
          <w:numId w:val="10"/>
        </w:numPr>
        <w:tabs>
          <w:tab w:val="left" w:pos="0"/>
          <w:tab w:val="left" w:pos="1134"/>
        </w:tabs>
        <w:ind w:left="0" w:firstLine="709"/>
        <w:rPr>
          <w:sz w:val="24"/>
          <w:szCs w:val="24"/>
        </w:rPr>
      </w:pPr>
      <w:r w:rsidRPr="00346CE4">
        <w:rPr>
          <w:sz w:val="24"/>
          <w:szCs w:val="24"/>
        </w:rPr>
        <w:t xml:space="preserve">este rezonabil de a proceda într-o manieră treptată prin utilizarea experienței administrative agregată și a unui cadru instituțional puternic și, astfel, asigurând simultan </w:t>
      </w:r>
      <w:proofErr w:type="spellStart"/>
      <w:r w:rsidRPr="00346CE4">
        <w:rPr>
          <w:sz w:val="24"/>
          <w:szCs w:val="24"/>
        </w:rPr>
        <w:t>piaţa</w:t>
      </w:r>
      <w:proofErr w:type="spellEnd"/>
      <w:r w:rsidRPr="00346CE4">
        <w:rPr>
          <w:sz w:val="24"/>
          <w:szCs w:val="24"/>
        </w:rPr>
        <w:t xml:space="preserve"> de comunicații electronice mobile cu un lot de spectru nou. Acest lucru ar permite timp pentru furnizori să crească treptat investițiile necesare pentru a utiliza/asimila pe deplin spectrul nou atribuit în rețelele lor înainte de a trece la următorul bloc de spectru;</w:t>
      </w:r>
    </w:p>
    <w:p w:rsidR="00346CE4" w:rsidRPr="00346CE4" w:rsidRDefault="00346CE4" w:rsidP="00346CE4">
      <w:pPr>
        <w:numPr>
          <w:ilvl w:val="0"/>
          <w:numId w:val="10"/>
        </w:numPr>
        <w:tabs>
          <w:tab w:val="left" w:pos="0"/>
          <w:tab w:val="left" w:pos="1134"/>
        </w:tabs>
        <w:ind w:left="0" w:firstLine="709"/>
        <w:rPr>
          <w:sz w:val="24"/>
          <w:szCs w:val="24"/>
        </w:rPr>
      </w:pPr>
      <w:r w:rsidRPr="00346CE4">
        <w:rPr>
          <w:sz w:val="24"/>
          <w:szCs w:val="24"/>
        </w:rPr>
        <w:t>redistribuirea spectrului în unele benzi cu cerere scăzută anterioară ar putea fi utilă pentru a reduce în continuare deficitul de fonduri de investiții care ar fi necesare pentru procedura competitivă de atribuire (licitație);</w:t>
      </w:r>
    </w:p>
    <w:p w:rsidR="00346CE4" w:rsidRPr="00346CE4" w:rsidRDefault="00346CE4" w:rsidP="00346CE4">
      <w:pPr>
        <w:numPr>
          <w:ilvl w:val="0"/>
          <w:numId w:val="10"/>
        </w:numPr>
        <w:tabs>
          <w:tab w:val="left" w:pos="0"/>
          <w:tab w:val="left" w:pos="1134"/>
        </w:tabs>
        <w:ind w:left="0" w:firstLine="709"/>
        <w:rPr>
          <w:sz w:val="24"/>
          <w:szCs w:val="24"/>
        </w:rPr>
      </w:pPr>
      <w:r w:rsidRPr="00346CE4">
        <w:rPr>
          <w:sz w:val="24"/>
          <w:szCs w:val="24"/>
        </w:rPr>
        <w:t xml:space="preserve">licitațiile de spectru concurențial pot fi astfel rezervate pentru etapele și benzile ulterioare care sunt legate de furnizarea de „servicii </w:t>
      </w:r>
      <w:proofErr w:type="spellStart"/>
      <w:r w:rsidRPr="00346CE4">
        <w:rPr>
          <w:sz w:val="24"/>
          <w:szCs w:val="24"/>
        </w:rPr>
        <w:t>premium</w:t>
      </w:r>
      <w:proofErr w:type="spellEnd"/>
      <w:r w:rsidRPr="00346CE4">
        <w:rPr>
          <w:sz w:val="24"/>
          <w:szCs w:val="24"/>
        </w:rPr>
        <w:t>”, cum ar fi benzile 5G.</w:t>
      </w:r>
    </w:p>
    <w:p w:rsidR="00346CE4" w:rsidRPr="00346CE4" w:rsidRDefault="00346CE4" w:rsidP="00346CE4">
      <w:pPr>
        <w:tabs>
          <w:tab w:val="left" w:pos="0"/>
        </w:tabs>
        <w:rPr>
          <w:b/>
          <w:sz w:val="24"/>
          <w:szCs w:val="24"/>
        </w:rPr>
      </w:pPr>
    </w:p>
    <w:p w:rsidR="00346CE4" w:rsidRPr="00346CE4" w:rsidRDefault="00346CE4" w:rsidP="00346CE4">
      <w:pPr>
        <w:tabs>
          <w:tab w:val="left" w:pos="0"/>
        </w:tabs>
        <w:rPr>
          <w:b/>
          <w:sz w:val="24"/>
          <w:szCs w:val="24"/>
        </w:rPr>
      </w:pPr>
      <w:r w:rsidRPr="00346CE4">
        <w:rPr>
          <w:b/>
          <w:sz w:val="24"/>
          <w:szCs w:val="24"/>
        </w:rPr>
        <w:t>7. Descrierea problemelor din domeniu</w:t>
      </w:r>
    </w:p>
    <w:p w:rsidR="00346CE4" w:rsidRPr="00346CE4" w:rsidRDefault="00346CE4" w:rsidP="00346CE4">
      <w:pPr>
        <w:tabs>
          <w:tab w:val="left" w:pos="0"/>
        </w:tabs>
        <w:rPr>
          <w:sz w:val="24"/>
          <w:szCs w:val="24"/>
        </w:rPr>
      </w:pPr>
      <w:r w:rsidRPr="00346CE4">
        <w:rPr>
          <w:sz w:val="24"/>
          <w:szCs w:val="24"/>
        </w:rPr>
        <w:t>1) Spectrul de frecvențe radio disponibil este o resursă valoroasă, dar în același timp limitată pentru aplicațiile și tehnologiile de bandă largă pentru care este destinat. Din acest motiv, este necesar ca administrarea lui să se facă cât mai eficient, astfel încât să se asigure premisele pentru utilizarea optimă pe termen lung, atât prin prisma dezvoltării de rețele de comunicații performante de ultimă generație, capabile să furnizeze servicii de comunicații de bandă largă inovatoare, cât și a promovării competiției pe piața serviciilor de comunicații, care să se reflecte în beneficii pentru utilizatorii finali;</w:t>
      </w:r>
    </w:p>
    <w:p w:rsidR="00346CE4" w:rsidRPr="00346CE4" w:rsidRDefault="00346CE4" w:rsidP="00346CE4">
      <w:pPr>
        <w:tabs>
          <w:tab w:val="left" w:pos="0"/>
        </w:tabs>
        <w:rPr>
          <w:sz w:val="24"/>
          <w:szCs w:val="24"/>
        </w:rPr>
      </w:pPr>
      <w:r w:rsidRPr="00346CE4">
        <w:rPr>
          <w:sz w:val="24"/>
          <w:szCs w:val="24"/>
        </w:rPr>
        <w:t>2) Perioada de derulare a Programului de management al spectrului de frecvențe radio pe anii 2013-2020 și a Planului de acțiuni privind realizarea acestuia, aprobat prin Hotărârea Guvernului nr.116/2013 expiră în acest an.</w:t>
      </w:r>
    </w:p>
    <w:p w:rsidR="00346CE4" w:rsidRPr="00346CE4" w:rsidRDefault="00346CE4" w:rsidP="00346CE4">
      <w:pPr>
        <w:tabs>
          <w:tab w:val="left" w:pos="0"/>
        </w:tabs>
        <w:rPr>
          <w:sz w:val="24"/>
          <w:szCs w:val="24"/>
        </w:rPr>
      </w:pPr>
      <w:r w:rsidRPr="00346CE4">
        <w:rPr>
          <w:sz w:val="24"/>
          <w:szCs w:val="24"/>
        </w:rPr>
        <w:t>Elaborarea unui nou Program de management al spectrului de frecvențe radio pe anii 2021-2025 este condiționată de necesitatea soluționării problemelor ce țin de utilizarea eficientă a spectrului de frecvențe radio ca resursă limitată - proprietate publică a statului, pentru a asigura disponibilitatea unui spectru de frecvențe suficient pentru dezvoltarea continuă a rețelelor și a serviciilor publice de comunicații electronice mobile terestre în bandă largă, pentru a stimula implementarea tehnologiilor și serviciilor de generație nouă, pentru beneficiile economiei naționale, precum și pentru utilizatorii finali;</w:t>
      </w:r>
    </w:p>
    <w:p w:rsidR="00346CE4" w:rsidRPr="00346CE4" w:rsidRDefault="00346CE4" w:rsidP="00346CE4">
      <w:pPr>
        <w:tabs>
          <w:tab w:val="left" w:pos="0"/>
        </w:tabs>
        <w:rPr>
          <w:sz w:val="24"/>
          <w:szCs w:val="24"/>
        </w:rPr>
      </w:pPr>
      <w:r w:rsidRPr="00346CE4">
        <w:rPr>
          <w:sz w:val="24"/>
          <w:szCs w:val="24"/>
        </w:rPr>
        <w:t xml:space="preserve">3) Din cele trei benzi pionier identificate pentru implementarea sistemelor terestre de comunicații mobile de generație nouă 5G în Europa (700 MHz, 3,6 GHz, 26 GHz) doar banda </w:t>
      </w:r>
      <w:r w:rsidRPr="00346CE4">
        <w:rPr>
          <w:sz w:val="24"/>
          <w:szCs w:val="24"/>
        </w:rPr>
        <w:lastRenderedPageBreak/>
        <w:t>3,6 GHz a fost inclusă în Programul național de management al spectrului pentru anii 2013-2020.</w:t>
      </w:r>
    </w:p>
    <w:p w:rsidR="00346CE4" w:rsidRPr="00346CE4" w:rsidRDefault="00346CE4" w:rsidP="00346CE4">
      <w:pPr>
        <w:tabs>
          <w:tab w:val="left" w:pos="0"/>
        </w:tabs>
        <w:ind w:firstLine="720"/>
        <w:rPr>
          <w:sz w:val="24"/>
          <w:szCs w:val="24"/>
        </w:rPr>
      </w:pPr>
      <w:r w:rsidRPr="00346CE4">
        <w:rPr>
          <w:sz w:val="24"/>
          <w:szCs w:val="24"/>
        </w:rPr>
        <w:t>Este necesar de a elabora un program nou în vederea includerii benzilor 700 MHz și 26 GHz și a altor benzi identificate pe plan regional sau global pentru implementarea IMT și pentru asigurarea predictibilității pe termen mediu și lung referitor la resursele de spectru de frecvențe radio, inclusiv prin implementarea deciziilor Conferinței Mondiale de Radiocomunicații din anul 2019 (CMR-19).</w:t>
      </w:r>
    </w:p>
    <w:p w:rsidR="00346CE4" w:rsidRPr="00346CE4" w:rsidRDefault="00346CE4" w:rsidP="00346CE4">
      <w:pPr>
        <w:tabs>
          <w:tab w:val="left" w:pos="0"/>
        </w:tabs>
        <w:rPr>
          <w:sz w:val="24"/>
          <w:szCs w:val="24"/>
        </w:rPr>
      </w:pPr>
      <w:r w:rsidRPr="00346CE4">
        <w:rPr>
          <w:sz w:val="24"/>
          <w:szCs w:val="24"/>
        </w:rPr>
        <w:t>În cazul în care statul nu va aproba un program nou pe termen mediu de management al resursei limitate, spectrul radio, furnizorii existenți de rețele și/sau servicii de comunicații electronice mobile nu vor avea siguranța în continuitatea activității în condiții transparente și nediscriminatorii și nu-și vor putea elabora planuri strategice de dezvoltare pe următorii ani.</w:t>
      </w:r>
    </w:p>
    <w:p w:rsidR="00346CE4" w:rsidRPr="00346CE4" w:rsidRDefault="00346CE4" w:rsidP="00346CE4">
      <w:pPr>
        <w:tabs>
          <w:tab w:val="left" w:pos="0"/>
        </w:tabs>
        <w:rPr>
          <w:sz w:val="24"/>
          <w:szCs w:val="24"/>
        </w:rPr>
      </w:pPr>
      <w:r w:rsidRPr="00346CE4">
        <w:rPr>
          <w:sz w:val="24"/>
          <w:szCs w:val="24"/>
        </w:rPr>
        <w:t>La rândul său, statul nu va putea valorifica eficient resursele limitate care au fost eliberate prin alte acte normative precedente, în special pentru a asigura disponibilitatea unui spectru de frecvențe suficient pentru dezvoltarea continuă a rețelelor și a serviciilor publice de comunicații electronice mobile terestre în bandă largă și pentru a impulsiona implementarea tehnologiilor și serviciilor de generație nouă;</w:t>
      </w:r>
    </w:p>
    <w:p w:rsidR="00346CE4" w:rsidRPr="00346CE4" w:rsidRDefault="00346CE4" w:rsidP="00346CE4">
      <w:pPr>
        <w:tabs>
          <w:tab w:val="left" w:pos="0"/>
        </w:tabs>
        <w:rPr>
          <w:sz w:val="24"/>
          <w:szCs w:val="24"/>
        </w:rPr>
      </w:pPr>
      <w:r w:rsidRPr="00346CE4">
        <w:rPr>
          <w:sz w:val="24"/>
          <w:szCs w:val="24"/>
        </w:rPr>
        <w:t>4) În contextul creșterii rapide a traficului de date pe suport radio de bandă largă și a importanței economice, industriale și sociale a economiei digitale, extinderea capacității rețelelor de comunicații electronice mobile a devenit o necesitate.</w:t>
      </w:r>
    </w:p>
    <w:p w:rsidR="00346CE4" w:rsidRPr="00346CE4" w:rsidRDefault="00346CE4" w:rsidP="00346CE4">
      <w:pPr>
        <w:tabs>
          <w:tab w:val="left" w:pos="0"/>
        </w:tabs>
        <w:rPr>
          <w:sz w:val="24"/>
          <w:szCs w:val="24"/>
        </w:rPr>
      </w:pPr>
      <w:r w:rsidRPr="00346CE4">
        <w:rPr>
          <w:sz w:val="24"/>
          <w:szCs w:val="24"/>
        </w:rPr>
        <w:t>Accesul la resursele de spectru adecvate reprezintă un element vital pentru succesul comercial viitor al furnizorilor de rețele și/sau de servicii de comunicații electronice existenți și al potențialilor intrați recent în sectorul comunicațiilor mobile, care se va reflecta în competitivitatea viitoare a pieței de comunicații mobile.</w:t>
      </w:r>
    </w:p>
    <w:p w:rsidR="00346CE4" w:rsidRPr="00346CE4" w:rsidRDefault="00346CE4" w:rsidP="00346CE4">
      <w:pPr>
        <w:tabs>
          <w:tab w:val="left" w:pos="0"/>
        </w:tabs>
        <w:rPr>
          <w:sz w:val="24"/>
          <w:szCs w:val="24"/>
        </w:rPr>
      </w:pPr>
      <w:r w:rsidRPr="00346CE4">
        <w:rPr>
          <w:sz w:val="24"/>
          <w:szCs w:val="24"/>
        </w:rPr>
        <w:t>Astfel, pentru satisfacerea cererii crescânde de trafic de date de bandă largă și dezvoltarea de servicii de comunicații digitale inovatoare, asigurarea resurselor de spectru radio adecvate și suficiente pentru implementarea eficientă și creșterea capacității rețelelor care utilizează tehnologiile pe suport radio de bandă largă este primordială;</w:t>
      </w:r>
    </w:p>
    <w:p w:rsidR="00346CE4" w:rsidRPr="00346CE4" w:rsidRDefault="00346CE4" w:rsidP="00346CE4">
      <w:pPr>
        <w:tabs>
          <w:tab w:val="left" w:pos="0"/>
        </w:tabs>
        <w:rPr>
          <w:sz w:val="24"/>
          <w:szCs w:val="24"/>
        </w:rPr>
      </w:pPr>
      <w:r w:rsidRPr="00346CE4">
        <w:rPr>
          <w:sz w:val="24"/>
          <w:szCs w:val="24"/>
        </w:rPr>
        <w:t>5) Creșterea capacității rețelelor respective este posibilă, ținând cont de faptul că spectrul este o resursă limitată numai prin valorificarea benzilor care nu au fost utilizate anterior (este un mod extensiv) sau prin implementarea unor tehnologii care utilizează spectrul mai eficient în benzile care au fost utilizate anterior pentru furnizarea serviciilor în baza unor tehnologii depășite (este un mod intensiv), sau printr-o combinație dintre aceste două moduri;</w:t>
      </w:r>
    </w:p>
    <w:p w:rsidR="00346CE4" w:rsidRPr="00346CE4" w:rsidRDefault="00346CE4" w:rsidP="00346CE4">
      <w:pPr>
        <w:tabs>
          <w:tab w:val="left" w:pos="0"/>
        </w:tabs>
        <w:rPr>
          <w:sz w:val="24"/>
          <w:szCs w:val="24"/>
        </w:rPr>
      </w:pPr>
      <w:r w:rsidRPr="00346CE4">
        <w:rPr>
          <w:sz w:val="24"/>
          <w:szCs w:val="24"/>
        </w:rPr>
        <w:t>6) Spectrul radio suplimentar ce va fi pus la dispoziția furnizorilor de rețele și/sau de servicii de comunicații electronice mobile va contribui la asigurarea resurselor de spectru necesare pentru dezvoltarea eficientă a serviciilor de comunicații electronice de bandă largă, atât prin utilizarea tehnologiilor existente, cât și prin implementarea sistemelor terestre de comunicații mobile de generație nouă, cunoscute sub denumirea de 5G sau IMT</w:t>
      </w:r>
      <w:r w:rsidRPr="00346CE4">
        <w:rPr>
          <w:sz w:val="24"/>
          <w:szCs w:val="24"/>
        </w:rPr>
        <w:noBreakHyphen/>
        <w:t>2020;</w:t>
      </w:r>
    </w:p>
    <w:p w:rsidR="00346CE4" w:rsidRPr="00346CE4" w:rsidRDefault="00346CE4" w:rsidP="00346CE4">
      <w:pPr>
        <w:tabs>
          <w:tab w:val="left" w:pos="0"/>
        </w:tabs>
        <w:rPr>
          <w:sz w:val="24"/>
          <w:szCs w:val="24"/>
        </w:rPr>
      </w:pPr>
      <w:r w:rsidRPr="00346CE4">
        <w:rPr>
          <w:sz w:val="24"/>
          <w:szCs w:val="24"/>
        </w:rPr>
        <w:t>7) Cerințele de spectru radio identificate la nivelul industriei pentru susținerea dezvoltării tehnologiilor 5G reprezintă o combinație de benzi de frecvențe din spectrul sub 1 GHz, între 1 și 6 GHz și peste 6 GHz, ce au caracteristici diferite, care oferă avantaje diferite pentru a răspunde cerințelor versatile ale diverselor aplicații 5G. O rețea de comunicații electronice mobile poate fi dezvoltată și implementată în mod adecvat luând în considerare toate resursele limitate de spectru radio disponibile – benzi de frecvențe joase (sub 1GHz) și benzi de frecvențe înalte (peste 1 GHz):</w:t>
      </w:r>
    </w:p>
    <w:p w:rsidR="00346CE4" w:rsidRPr="00346CE4" w:rsidRDefault="00346CE4" w:rsidP="00346CE4">
      <w:pPr>
        <w:tabs>
          <w:tab w:val="left" w:pos="0"/>
        </w:tabs>
        <w:rPr>
          <w:sz w:val="24"/>
          <w:szCs w:val="24"/>
        </w:rPr>
      </w:pPr>
      <w:r w:rsidRPr="00346CE4">
        <w:rPr>
          <w:sz w:val="24"/>
          <w:szCs w:val="24"/>
        </w:rPr>
        <w:t>a) spectrul de frecvențe sub 1 GHz este important pentru asigurarea acoperirii eficiente a unor arii extinse și a unei acoperiri îmbunătățite în interiorul clădirilor datorită propagării pe distanțe lungi a undelor radio și a penetrării mai bune în clădiri comparativ cu cele din benzile de frecvențe mai înalte;</w:t>
      </w:r>
    </w:p>
    <w:p w:rsidR="00346CE4" w:rsidRPr="00346CE4" w:rsidRDefault="00346CE4" w:rsidP="00346CE4">
      <w:pPr>
        <w:tabs>
          <w:tab w:val="left" w:pos="0"/>
        </w:tabs>
        <w:rPr>
          <w:sz w:val="24"/>
          <w:szCs w:val="24"/>
        </w:rPr>
      </w:pPr>
      <w:r w:rsidRPr="00346CE4">
        <w:rPr>
          <w:sz w:val="24"/>
          <w:szCs w:val="24"/>
        </w:rPr>
        <w:t>b) spectrul între 1 GHz și 6 GHz este adecvat pentru introducerea timpurie a 5G, întrucât oferă lărgimi de bandă relativ mari și un bun echilibru între acoperire și capacitate;</w:t>
      </w:r>
    </w:p>
    <w:p w:rsidR="00346CE4" w:rsidRPr="00346CE4" w:rsidRDefault="00346CE4" w:rsidP="00346CE4">
      <w:pPr>
        <w:tabs>
          <w:tab w:val="left" w:pos="0"/>
        </w:tabs>
        <w:rPr>
          <w:sz w:val="24"/>
          <w:szCs w:val="24"/>
        </w:rPr>
      </w:pPr>
      <w:r w:rsidRPr="00346CE4">
        <w:rPr>
          <w:sz w:val="24"/>
          <w:szCs w:val="24"/>
        </w:rPr>
        <w:lastRenderedPageBreak/>
        <w:t>c) spectrul de frecvențe peste 6 GHz, și în special cel peste 24 GHz (din gama undelor milimetrice), permite asigurarea de capacități și viteze de date foarte mari, specifice 5G, și este adecvat pentru furnizarea serviciilor 5G în zonele dens urbane.</w:t>
      </w:r>
    </w:p>
    <w:p w:rsidR="00346CE4" w:rsidRPr="00346CE4" w:rsidRDefault="00346CE4" w:rsidP="00346CE4">
      <w:pPr>
        <w:tabs>
          <w:tab w:val="left" w:pos="0"/>
        </w:tabs>
        <w:rPr>
          <w:b/>
          <w:sz w:val="24"/>
          <w:szCs w:val="24"/>
        </w:rPr>
      </w:pPr>
    </w:p>
    <w:p w:rsidR="00346CE4" w:rsidRPr="00346CE4" w:rsidRDefault="00346CE4" w:rsidP="00346CE4">
      <w:pPr>
        <w:tabs>
          <w:tab w:val="left" w:pos="0"/>
        </w:tabs>
        <w:rPr>
          <w:b/>
          <w:sz w:val="24"/>
          <w:szCs w:val="24"/>
        </w:rPr>
      </w:pPr>
      <w:r w:rsidRPr="00346CE4">
        <w:rPr>
          <w:b/>
          <w:sz w:val="24"/>
          <w:szCs w:val="24"/>
        </w:rPr>
        <w:t>8. Posibile consecințe în cazul neintervenției în soluționarea problemelor</w:t>
      </w:r>
    </w:p>
    <w:p w:rsidR="00346CE4" w:rsidRPr="00346CE4" w:rsidRDefault="00346CE4" w:rsidP="00346CE4">
      <w:pPr>
        <w:tabs>
          <w:tab w:val="left" w:pos="0"/>
        </w:tabs>
        <w:rPr>
          <w:sz w:val="24"/>
          <w:szCs w:val="24"/>
        </w:rPr>
      </w:pPr>
      <w:r w:rsidRPr="00346CE4">
        <w:rPr>
          <w:sz w:val="24"/>
          <w:szCs w:val="24"/>
        </w:rPr>
        <w:t xml:space="preserve">În cazul în care nu se întreprind acțiuni în sensul elaborării </w:t>
      </w:r>
      <w:proofErr w:type="spellStart"/>
      <w:r w:rsidRPr="00346CE4">
        <w:rPr>
          <w:sz w:val="24"/>
          <w:szCs w:val="24"/>
        </w:rPr>
        <w:t>şi</w:t>
      </w:r>
      <w:proofErr w:type="spellEnd"/>
      <w:r w:rsidRPr="00346CE4">
        <w:rPr>
          <w:sz w:val="24"/>
          <w:szCs w:val="24"/>
        </w:rPr>
        <w:t xml:space="preserve"> aprobării unui nou program de management al frecvențelor radio, poate surveni una dintre următoarele </w:t>
      </w:r>
      <w:proofErr w:type="spellStart"/>
      <w:r w:rsidRPr="00346CE4">
        <w:rPr>
          <w:sz w:val="24"/>
          <w:szCs w:val="24"/>
        </w:rPr>
        <w:t>situaţii</w:t>
      </w:r>
      <w:proofErr w:type="spellEnd"/>
      <w:r w:rsidRPr="00346CE4">
        <w:rPr>
          <w:sz w:val="24"/>
          <w:szCs w:val="24"/>
        </w:rPr>
        <w:t>:</w:t>
      </w:r>
    </w:p>
    <w:p w:rsidR="00346CE4" w:rsidRPr="00346CE4" w:rsidRDefault="00346CE4" w:rsidP="00346CE4">
      <w:pPr>
        <w:tabs>
          <w:tab w:val="left" w:pos="0"/>
        </w:tabs>
        <w:rPr>
          <w:sz w:val="24"/>
          <w:szCs w:val="24"/>
        </w:rPr>
      </w:pPr>
      <w:r w:rsidRPr="00346CE4">
        <w:rPr>
          <w:sz w:val="24"/>
          <w:szCs w:val="24"/>
        </w:rPr>
        <w:t xml:space="preserve">1) ar condiționa probleme de asigurare a continuității </w:t>
      </w:r>
      <w:proofErr w:type="spellStart"/>
      <w:r w:rsidRPr="00346CE4">
        <w:rPr>
          <w:sz w:val="24"/>
          <w:szCs w:val="24"/>
        </w:rPr>
        <w:t>activităţii</w:t>
      </w:r>
      <w:proofErr w:type="spellEnd"/>
      <w:r w:rsidRPr="00346CE4">
        <w:rPr>
          <w:sz w:val="24"/>
          <w:szCs w:val="24"/>
        </w:rPr>
        <w:t xml:space="preserve"> furnizorilor </w:t>
      </w:r>
      <w:proofErr w:type="spellStart"/>
      <w:r w:rsidRPr="00346CE4">
        <w:rPr>
          <w:sz w:val="24"/>
          <w:szCs w:val="24"/>
        </w:rPr>
        <w:t>existenţi</w:t>
      </w:r>
      <w:proofErr w:type="spellEnd"/>
      <w:r w:rsidRPr="00346CE4">
        <w:rPr>
          <w:sz w:val="24"/>
          <w:szCs w:val="24"/>
        </w:rPr>
        <w:t xml:space="preserve"> de </w:t>
      </w:r>
      <w:proofErr w:type="spellStart"/>
      <w:r w:rsidRPr="00346CE4">
        <w:rPr>
          <w:sz w:val="24"/>
          <w:szCs w:val="24"/>
        </w:rPr>
        <w:t>reţele</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/sau servicii de comunicații electronice în condiții transparente </w:t>
      </w:r>
      <w:proofErr w:type="spellStart"/>
      <w:r w:rsidRPr="00346CE4">
        <w:rPr>
          <w:sz w:val="24"/>
          <w:szCs w:val="24"/>
        </w:rPr>
        <w:t>şi</w:t>
      </w:r>
      <w:proofErr w:type="spellEnd"/>
      <w:r w:rsidRPr="00346CE4">
        <w:rPr>
          <w:sz w:val="24"/>
          <w:szCs w:val="24"/>
        </w:rPr>
        <w:t xml:space="preserve"> nediscriminatorii, cu urmări negative pentru un număr important de utilizatori, deoarece în curând va expira termenul de valabilitate a unor licențe;</w:t>
      </w:r>
    </w:p>
    <w:p w:rsidR="00346CE4" w:rsidRPr="00346CE4" w:rsidRDefault="00346CE4" w:rsidP="00346CE4">
      <w:pPr>
        <w:tabs>
          <w:tab w:val="left" w:pos="0"/>
        </w:tabs>
        <w:rPr>
          <w:sz w:val="24"/>
          <w:szCs w:val="24"/>
        </w:rPr>
      </w:pPr>
      <w:r w:rsidRPr="00346CE4">
        <w:rPr>
          <w:sz w:val="24"/>
          <w:szCs w:val="24"/>
        </w:rPr>
        <w:t>2) nu vor fi asigurate condițiile de utilizare eficientă a spectrului radio alocat și de dezvoltare a serviciilor de comunicații mobile de bandă largă;</w:t>
      </w:r>
    </w:p>
    <w:p w:rsidR="00346CE4" w:rsidRPr="00346CE4" w:rsidRDefault="00346CE4" w:rsidP="00346CE4">
      <w:pPr>
        <w:tabs>
          <w:tab w:val="left" w:pos="0"/>
        </w:tabs>
        <w:rPr>
          <w:sz w:val="24"/>
          <w:szCs w:val="24"/>
        </w:rPr>
      </w:pPr>
      <w:r w:rsidRPr="00346CE4">
        <w:rPr>
          <w:sz w:val="24"/>
          <w:szCs w:val="24"/>
        </w:rPr>
        <w:t>3) nu vor fi încurajate investițiile eficiente în infrastructura națională de radiocomunicații;</w:t>
      </w:r>
    </w:p>
    <w:p w:rsidR="00346CE4" w:rsidRPr="00346CE4" w:rsidRDefault="00346CE4" w:rsidP="00346CE4">
      <w:pPr>
        <w:tabs>
          <w:tab w:val="left" w:pos="0"/>
        </w:tabs>
        <w:rPr>
          <w:sz w:val="24"/>
          <w:szCs w:val="24"/>
        </w:rPr>
      </w:pPr>
      <w:r w:rsidRPr="00346CE4">
        <w:rPr>
          <w:sz w:val="24"/>
          <w:szCs w:val="24"/>
        </w:rPr>
        <w:t xml:space="preserve">4) nu vor fi asigurate condițiile pentru promovarea competiției pe piața de comunicații mobile și evitarea cumulului </w:t>
      </w:r>
      <w:proofErr w:type="spellStart"/>
      <w:r w:rsidRPr="00346CE4">
        <w:rPr>
          <w:sz w:val="24"/>
          <w:szCs w:val="24"/>
        </w:rPr>
        <w:t>anticompetitiv</w:t>
      </w:r>
      <w:proofErr w:type="spellEnd"/>
      <w:r w:rsidRPr="00346CE4">
        <w:rPr>
          <w:sz w:val="24"/>
          <w:szCs w:val="24"/>
        </w:rPr>
        <w:t xml:space="preserve"> de spectru radio;</w:t>
      </w:r>
    </w:p>
    <w:p w:rsidR="00346CE4" w:rsidRPr="00346CE4" w:rsidRDefault="00346CE4" w:rsidP="00346CE4">
      <w:pPr>
        <w:tabs>
          <w:tab w:val="left" w:pos="0"/>
        </w:tabs>
        <w:rPr>
          <w:sz w:val="24"/>
          <w:szCs w:val="24"/>
        </w:rPr>
      </w:pPr>
      <w:r w:rsidRPr="00346CE4">
        <w:rPr>
          <w:sz w:val="24"/>
          <w:szCs w:val="24"/>
        </w:rPr>
        <w:t>5) nu vor fi asigurate condițiile pentru implementarea serviciilor de comunicații mobile de bandă largă de generație nouă (5G) cu imposibilitatea de dezvoltare a inovațiilor și a beneficiilor oferite de ecosistemul 5G.</w:t>
      </w:r>
    </w:p>
    <w:p w:rsidR="00346CE4" w:rsidRPr="00346CE4" w:rsidRDefault="00346CE4" w:rsidP="00346CE4">
      <w:pPr>
        <w:tabs>
          <w:tab w:val="left" w:pos="0"/>
        </w:tabs>
        <w:jc w:val="center"/>
        <w:outlineLvl w:val="0"/>
        <w:rPr>
          <w:b/>
          <w:sz w:val="24"/>
          <w:szCs w:val="24"/>
        </w:rPr>
      </w:pPr>
    </w:p>
    <w:p w:rsidR="00346CE4" w:rsidRPr="00346CE4" w:rsidRDefault="00346CE4" w:rsidP="00346CE4">
      <w:pPr>
        <w:tabs>
          <w:tab w:val="left" w:pos="0"/>
        </w:tabs>
        <w:ind w:firstLine="0"/>
        <w:jc w:val="center"/>
        <w:outlineLvl w:val="0"/>
        <w:rPr>
          <w:b/>
          <w:sz w:val="24"/>
          <w:szCs w:val="24"/>
        </w:rPr>
      </w:pPr>
      <w:r w:rsidRPr="00346CE4">
        <w:rPr>
          <w:b/>
          <w:sz w:val="24"/>
          <w:szCs w:val="24"/>
        </w:rPr>
        <w:t>III. OBIECTIVE GENERALE</w:t>
      </w:r>
    </w:p>
    <w:p w:rsidR="00346CE4" w:rsidRPr="00346CE4" w:rsidRDefault="00346CE4" w:rsidP="00346CE4">
      <w:pPr>
        <w:tabs>
          <w:tab w:val="left" w:pos="0"/>
        </w:tabs>
        <w:jc w:val="center"/>
        <w:outlineLvl w:val="0"/>
        <w:rPr>
          <w:b/>
          <w:sz w:val="24"/>
          <w:szCs w:val="24"/>
        </w:rPr>
      </w:pPr>
    </w:p>
    <w:p w:rsidR="00346CE4" w:rsidRPr="00346CE4" w:rsidRDefault="00346CE4" w:rsidP="00346CE4">
      <w:pPr>
        <w:tabs>
          <w:tab w:val="left" w:pos="0"/>
        </w:tabs>
        <w:outlineLvl w:val="0"/>
        <w:rPr>
          <w:sz w:val="24"/>
          <w:szCs w:val="24"/>
        </w:rPr>
      </w:pPr>
      <w:r w:rsidRPr="00346CE4">
        <w:rPr>
          <w:b/>
          <w:sz w:val="24"/>
          <w:szCs w:val="24"/>
        </w:rPr>
        <w:t>9.</w:t>
      </w:r>
      <w:r w:rsidRPr="00346CE4">
        <w:rPr>
          <w:sz w:val="24"/>
          <w:szCs w:val="24"/>
        </w:rPr>
        <w:t xml:space="preserve"> Obiectivul general al prezentului Program este asigurarea unei dezvoltări continue a industriei comunicațiilor electronice, sectorului tehnologiei informației și comunicațiilor din Republica Moldova, în special, a rețelelor și a serviciilor publice de comunicații electronice mobile în bandă largă în perioada anilor 2021-2025, cu păstrarea posibilității dezvoltării continue în condițiile locale, conform cerințelor de piață, a serviciilor voce mobile și se referă la asigurarea resurselor de spectru radio necesare pentru o dezvoltare continuă a rețelelor mobile terestre de comunicații electronice în bandă largă; valorificarea acestor resurse limitate.</w:t>
      </w:r>
    </w:p>
    <w:p w:rsidR="00346CE4" w:rsidRPr="00346CE4" w:rsidRDefault="00346CE4" w:rsidP="00346CE4">
      <w:pPr>
        <w:tabs>
          <w:tab w:val="left" w:pos="0"/>
        </w:tabs>
        <w:outlineLvl w:val="0"/>
        <w:rPr>
          <w:sz w:val="24"/>
          <w:szCs w:val="24"/>
        </w:rPr>
      </w:pPr>
    </w:p>
    <w:p w:rsidR="00346CE4" w:rsidRPr="00346CE4" w:rsidRDefault="00346CE4" w:rsidP="00346CE4">
      <w:pPr>
        <w:tabs>
          <w:tab w:val="left" w:pos="0"/>
        </w:tabs>
        <w:rPr>
          <w:sz w:val="24"/>
          <w:szCs w:val="24"/>
        </w:rPr>
      </w:pPr>
      <w:r w:rsidRPr="00346CE4">
        <w:rPr>
          <w:b/>
          <w:sz w:val="24"/>
          <w:szCs w:val="24"/>
        </w:rPr>
        <w:t xml:space="preserve">10. </w:t>
      </w:r>
      <w:proofErr w:type="spellStart"/>
      <w:r w:rsidRPr="00346CE4">
        <w:rPr>
          <w:sz w:val="24"/>
          <w:szCs w:val="24"/>
        </w:rPr>
        <w:t>Precondiţiile</w:t>
      </w:r>
      <w:proofErr w:type="spellEnd"/>
      <w:r w:rsidRPr="00346CE4">
        <w:rPr>
          <w:sz w:val="24"/>
          <w:szCs w:val="24"/>
        </w:rPr>
        <w:t xml:space="preserve"> pentru elaborarea prezentului Program sunt următoarele:</w:t>
      </w:r>
    </w:p>
    <w:p w:rsidR="00346CE4" w:rsidRPr="00346CE4" w:rsidRDefault="00346CE4" w:rsidP="00346CE4">
      <w:pPr>
        <w:numPr>
          <w:ilvl w:val="0"/>
          <w:numId w:val="12"/>
        </w:numPr>
        <w:tabs>
          <w:tab w:val="left" w:pos="0"/>
          <w:tab w:val="left" w:pos="1134"/>
        </w:tabs>
        <w:ind w:left="0" w:firstLine="709"/>
        <w:rPr>
          <w:sz w:val="24"/>
          <w:szCs w:val="24"/>
        </w:rPr>
      </w:pPr>
      <w:r w:rsidRPr="00346CE4">
        <w:rPr>
          <w:sz w:val="24"/>
          <w:szCs w:val="24"/>
        </w:rPr>
        <w:t xml:space="preserve">crearea cadrului juridic </w:t>
      </w:r>
      <w:proofErr w:type="spellStart"/>
      <w:r w:rsidRPr="00346CE4">
        <w:rPr>
          <w:sz w:val="24"/>
          <w:szCs w:val="24"/>
        </w:rPr>
        <w:t>şi</w:t>
      </w:r>
      <w:proofErr w:type="spellEnd"/>
      <w:r w:rsidRPr="00346CE4">
        <w:rPr>
          <w:sz w:val="24"/>
          <w:szCs w:val="24"/>
        </w:rPr>
        <w:t xml:space="preserve"> legal pentru o dezvoltare durabilă a </w:t>
      </w:r>
      <w:proofErr w:type="spellStart"/>
      <w:r w:rsidRPr="00346CE4">
        <w:rPr>
          <w:sz w:val="24"/>
          <w:szCs w:val="24"/>
        </w:rPr>
        <w:t>comunicaţiilor</w:t>
      </w:r>
      <w:proofErr w:type="spellEnd"/>
      <w:r w:rsidRPr="00346CE4">
        <w:rPr>
          <w:sz w:val="24"/>
          <w:szCs w:val="24"/>
        </w:rPr>
        <w:t xml:space="preserve"> electronice mobile terestre în bandă largă și a altor tipuri de comunicații pentru anii 2021-2025 prin continuarea Programului de management al spectrului de frecvențe radio pe anii 2013-2020;</w:t>
      </w:r>
    </w:p>
    <w:p w:rsidR="00346CE4" w:rsidRPr="00346CE4" w:rsidRDefault="00346CE4" w:rsidP="00346CE4">
      <w:pPr>
        <w:numPr>
          <w:ilvl w:val="0"/>
          <w:numId w:val="12"/>
        </w:numPr>
        <w:tabs>
          <w:tab w:val="left" w:pos="0"/>
          <w:tab w:val="left" w:pos="1134"/>
        </w:tabs>
        <w:ind w:left="0" w:firstLine="709"/>
        <w:rPr>
          <w:sz w:val="24"/>
          <w:szCs w:val="24"/>
        </w:rPr>
      </w:pPr>
      <w:r w:rsidRPr="00346CE4">
        <w:rPr>
          <w:sz w:val="24"/>
          <w:szCs w:val="24"/>
        </w:rPr>
        <w:t>necesitatea valorificării resurselor de spectru radio disponibile;</w:t>
      </w:r>
    </w:p>
    <w:p w:rsidR="00346CE4" w:rsidRPr="00346CE4" w:rsidRDefault="00346CE4" w:rsidP="00346CE4">
      <w:pPr>
        <w:numPr>
          <w:ilvl w:val="0"/>
          <w:numId w:val="12"/>
        </w:numPr>
        <w:tabs>
          <w:tab w:val="left" w:pos="0"/>
          <w:tab w:val="left" w:pos="1134"/>
        </w:tabs>
        <w:ind w:left="0" w:firstLine="709"/>
        <w:rPr>
          <w:sz w:val="24"/>
          <w:szCs w:val="24"/>
        </w:rPr>
      </w:pPr>
      <w:r w:rsidRPr="00346CE4">
        <w:rPr>
          <w:sz w:val="24"/>
          <w:szCs w:val="24"/>
        </w:rPr>
        <w:t xml:space="preserve">necesitatea continuării aplicării bunei practici cu </w:t>
      </w:r>
      <w:proofErr w:type="spellStart"/>
      <w:r w:rsidRPr="00346CE4">
        <w:rPr>
          <w:sz w:val="24"/>
          <w:szCs w:val="24"/>
        </w:rPr>
        <w:t>referinţă</w:t>
      </w:r>
      <w:proofErr w:type="spellEnd"/>
      <w:r w:rsidRPr="00346CE4">
        <w:rPr>
          <w:sz w:val="24"/>
          <w:szCs w:val="24"/>
        </w:rPr>
        <w:t xml:space="preserve"> la implementarea Programului multianual al UE de politică în domeniul spectrului de </w:t>
      </w:r>
      <w:proofErr w:type="spellStart"/>
      <w:r w:rsidRPr="00346CE4">
        <w:rPr>
          <w:sz w:val="24"/>
          <w:szCs w:val="24"/>
        </w:rPr>
        <w:t>frecvenţe</w:t>
      </w:r>
      <w:proofErr w:type="spellEnd"/>
      <w:r w:rsidRPr="00346CE4">
        <w:rPr>
          <w:sz w:val="24"/>
          <w:szCs w:val="24"/>
        </w:rPr>
        <w:t xml:space="preserve"> radio (Radio </w:t>
      </w:r>
      <w:proofErr w:type="spellStart"/>
      <w:r w:rsidRPr="00346CE4">
        <w:rPr>
          <w:sz w:val="24"/>
          <w:szCs w:val="24"/>
        </w:rPr>
        <w:t>Spectrum</w:t>
      </w:r>
      <w:proofErr w:type="spellEnd"/>
      <w:r w:rsidRPr="00346CE4">
        <w:rPr>
          <w:sz w:val="24"/>
          <w:szCs w:val="24"/>
        </w:rPr>
        <w:t xml:space="preserve"> </w:t>
      </w:r>
      <w:proofErr w:type="spellStart"/>
      <w:r w:rsidRPr="00346CE4">
        <w:rPr>
          <w:sz w:val="24"/>
          <w:szCs w:val="24"/>
        </w:rPr>
        <w:t>Policy</w:t>
      </w:r>
      <w:proofErr w:type="spellEnd"/>
      <w:r w:rsidRPr="00346CE4">
        <w:rPr>
          <w:sz w:val="24"/>
          <w:szCs w:val="24"/>
        </w:rPr>
        <w:t xml:space="preserve"> </w:t>
      </w:r>
      <w:proofErr w:type="spellStart"/>
      <w:r w:rsidRPr="00346CE4">
        <w:rPr>
          <w:sz w:val="24"/>
          <w:szCs w:val="24"/>
        </w:rPr>
        <w:t>Programme</w:t>
      </w:r>
      <w:proofErr w:type="spellEnd"/>
      <w:r w:rsidRPr="00346CE4">
        <w:rPr>
          <w:sz w:val="24"/>
          <w:szCs w:val="24"/>
        </w:rPr>
        <w:t>-RSPP, Decizia 243/2012/UE din 14 martie 2012);</w:t>
      </w:r>
    </w:p>
    <w:p w:rsidR="00346CE4" w:rsidRPr="00346CE4" w:rsidRDefault="00346CE4" w:rsidP="00346CE4">
      <w:pPr>
        <w:numPr>
          <w:ilvl w:val="0"/>
          <w:numId w:val="12"/>
        </w:numPr>
        <w:tabs>
          <w:tab w:val="left" w:pos="0"/>
          <w:tab w:val="left" w:pos="1134"/>
        </w:tabs>
        <w:ind w:left="0" w:firstLine="709"/>
        <w:rPr>
          <w:sz w:val="24"/>
          <w:szCs w:val="24"/>
        </w:rPr>
      </w:pPr>
      <w:r w:rsidRPr="00346CE4">
        <w:rPr>
          <w:sz w:val="24"/>
          <w:szCs w:val="24"/>
        </w:rPr>
        <w:t xml:space="preserve">asigurarea posibilității implementării serviciilor de comunicații mobile de bandă largă de generație nouă (5G), ce va </w:t>
      </w:r>
      <w:r w:rsidRPr="00346CE4">
        <w:rPr>
          <w:rFonts w:eastAsia="Calibri"/>
          <w:sz w:val="24"/>
          <w:szCs w:val="24"/>
        </w:rPr>
        <w:t>oferi cetățenilor și industriilor avantajele competitive necesare unei dezvoltări într-un mediu propice.</w:t>
      </w:r>
    </w:p>
    <w:p w:rsidR="00346CE4" w:rsidRPr="00346CE4" w:rsidRDefault="00346CE4" w:rsidP="00346CE4">
      <w:pPr>
        <w:tabs>
          <w:tab w:val="left" w:pos="0"/>
          <w:tab w:val="left" w:pos="1134"/>
        </w:tabs>
        <w:ind w:firstLine="0"/>
        <w:rPr>
          <w:sz w:val="24"/>
          <w:szCs w:val="24"/>
        </w:rPr>
      </w:pPr>
    </w:p>
    <w:p w:rsidR="00346CE4" w:rsidRPr="00346CE4" w:rsidRDefault="00346CE4" w:rsidP="00346CE4">
      <w:pPr>
        <w:tabs>
          <w:tab w:val="left" w:pos="0"/>
        </w:tabs>
        <w:rPr>
          <w:sz w:val="24"/>
          <w:szCs w:val="24"/>
        </w:rPr>
      </w:pPr>
      <w:r w:rsidRPr="00346CE4">
        <w:rPr>
          <w:b/>
          <w:sz w:val="24"/>
          <w:szCs w:val="24"/>
        </w:rPr>
        <w:t>11.</w:t>
      </w:r>
      <w:r w:rsidRPr="00346CE4">
        <w:rPr>
          <w:sz w:val="24"/>
          <w:szCs w:val="24"/>
        </w:rPr>
        <w:t xml:space="preserve"> Elaborarea și adoptarea prezentului Program are drept scop asigurarea satisfacerii interesului public și social, precum și a unui maximum de beneficii pentru utilizatorii de spectru, fie furnizori de rețele și/sau de servicii de comunicații electronice, fie utilizatori finali, totodată, asigurându-se un management eficient al resurselor de spectru radio și stabilirea principiilor, condițiilor și procedurilor de acordare a drepturilor de utilizare a acestor resurse din benzile de frecvențe vizate, pentru a asigura implementarea și dezvoltarea sistemelor terestre capabile să furnizeze servicii de comunicații electronice de bandă largă.</w:t>
      </w:r>
    </w:p>
    <w:p w:rsidR="00346CE4" w:rsidRPr="00346CE4" w:rsidRDefault="00346CE4" w:rsidP="00346CE4">
      <w:pPr>
        <w:tabs>
          <w:tab w:val="left" w:pos="0"/>
        </w:tabs>
        <w:rPr>
          <w:sz w:val="24"/>
          <w:szCs w:val="24"/>
        </w:rPr>
      </w:pPr>
      <w:r w:rsidRPr="00346CE4">
        <w:rPr>
          <w:sz w:val="24"/>
          <w:szCs w:val="24"/>
        </w:rPr>
        <w:lastRenderedPageBreak/>
        <w:tab/>
        <w:t>Obiectivele prezentului Program includ stabilirea unui cadru comun care ar asigura coordonarea politicilor și, după caz, armonizarea condițiilor referitoare la disponibilitatea și utilizarea eficientă a spectrului de frecvențe radio.</w:t>
      </w:r>
    </w:p>
    <w:p w:rsidR="00346CE4" w:rsidRPr="00346CE4" w:rsidRDefault="00346CE4" w:rsidP="00346CE4">
      <w:pPr>
        <w:tabs>
          <w:tab w:val="left" w:pos="0"/>
        </w:tabs>
        <w:rPr>
          <w:sz w:val="24"/>
          <w:szCs w:val="24"/>
        </w:rPr>
      </w:pPr>
    </w:p>
    <w:p w:rsidR="00346CE4" w:rsidRPr="00346CE4" w:rsidRDefault="00346CE4" w:rsidP="00346CE4">
      <w:pPr>
        <w:tabs>
          <w:tab w:val="left" w:pos="0"/>
        </w:tabs>
        <w:outlineLvl w:val="0"/>
        <w:rPr>
          <w:sz w:val="24"/>
          <w:szCs w:val="24"/>
        </w:rPr>
      </w:pPr>
      <w:r w:rsidRPr="00346CE4">
        <w:rPr>
          <w:b/>
          <w:sz w:val="24"/>
          <w:szCs w:val="24"/>
        </w:rPr>
        <w:t>12.</w:t>
      </w:r>
      <w:r w:rsidRPr="00346CE4">
        <w:rPr>
          <w:sz w:val="24"/>
          <w:szCs w:val="24"/>
        </w:rPr>
        <w:t xml:space="preserve"> Vor fi organizate acțiuni în vederea alocării resurselor rămase nealocate și alocării de resurse în următoarele benzi noi de frecvențe în baza procedurilor de selectare competitivă conform prevederilor Legii comunicațiilor electronice nr. 241/2007, pentru a introduce și dezvolta sisteme terestre capabile să furnizeze servicii de comunicații electronice de bandă largă: 451-457,5 / 461-467,5 MHz, 694-790 MHz; 880-890/925-935 MHz; 1427-1518 MHz, 1920-1980/2110-2170 MHz; 2300-2400 MHz, 2500-2690 MHz, 3400-3800 MHz, 24,25-27,5 GHz. Benzile de frecvențe radio au fost selectate ca recunoaștere a desemnării lor în aceste scopuri la nivel internațional (UIT) </w:t>
      </w:r>
      <w:proofErr w:type="spellStart"/>
      <w:r w:rsidRPr="00346CE4">
        <w:rPr>
          <w:sz w:val="24"/>
          <w:szCs w:val="24"/>
        </w:rPr>
        <w:t>şi</w:t>
      </w:r>
      <w:proofErr w:type="spellEnd"/>
      <w:r w:rsidRPr="00346CE4">
        <w:rPr>
          <w:sz w:val="24"/>
          <w:szCs w:val="24"/>
        </w:rPr>
        <w:t xml:space="preserve"> european (UE, CEPT) și ca urmare a armonizării utilizării lor. </w:t>
      </w:r>
    </w:p>
    <w:p w:rsidR="00346CE4" w:rsidRPr="00346CE4" w:rsidRDefault="00346CE4" w:rsidP="00346CE4">
      <w:pPr>
        <w:tabs>
          <w:tab w:val="left" w:pos="0"/>
        </w:tabs>
        <w:outlineLvl w:val="0"/>
        <w:rPr>
          <w:sz w:val="24"/>
          <w:szCs w:val="24"/>
        </w:rPr>
      </w:pPr>
      <w:r w:rsidRPr="00346CE4">
        <w:rPr>
          <w:sz w:val="24"/>
          <w:szCs w:val="24"/>
        </w:rPr>
        <w:t>Astfel:</w:t>
      </w:r>
    </w:p>
    <w:p w:rsidR="00346CE4" w:rsidRPr="00346CE4" w:rsidRDefault="00346CE4" w:rsidP="00346CE4">
      <w:pPr>
        <w:tabs>
          <w:tab w:val="left" w:pos="0"/>
          <w:tab w:val="left" w:pos="1134"/>
        </w:tabs>
        <w:rPr>
          <w:sz w:val="24"/>
          <w:szCs w:val="24"/>
        </w:rPr>
      </w:pPr>
      <w:r w:rsidRPr="00346CE4">
        <w:rPr>
          <w:b/>
          <w:sz w:val="24"/>
          <w:szCs w:val="24"/>
        </w:rPr>
        <w:t>1) în termen de până la 30 martie 2021</w:t>
      </w:r>
      <w:r w:rsidRPr="00346CE4">
        <w:rPr>
          <w:sz w:val="24"/>
          <w:szCs w:val="24"/>
        </w:rPr>
        <w:t xml:space="preserve"> se recomandă autorității de reglementare elaborarea, consultarea publică </w:t>
      </w:r>
      <w:proofErr w:type="spellStart"/>
      <w:r w:rsidRPr="00346CE4">
        <w:rPr>
          <w:sz w:val="24"/>
          <w:szCs w:val="24"/>
        </w:rPr>
        <w:t>şi</w:t>
      </w:r>
      <w:proofErr w:type="spellEnd"/>
      <w:r w:rsidRPr="00346CE4">
        <w:rPr>
          <w:sz w:val="24"/>
          <w:szCs w:val="24"/>
        </w:rPr>
        <w:t xml:space="preserve"> aprobarea documentelor de concurs privind eliberarea licențelor pentru dreptul de utilizare a resurselor de spectru radio din banda de frecvențe </w:t>
      </w:r>
      <w:r w:rsidRPr="00346CE4">
        <w:rPr>
          <w:rStyle w:val="highlight"/>
          <w:sz w:val="24"/>
          <w:szCs w:val="24"/>
        </w:rPr>
        <w:t>450 MHz</w:t>
      </w:r>
      <w:r w:rsidRPr="00346CE4">
        <w:rPr>
          <w:sz w:val="24"/>
          <w:szCs w:val="24"/>
        </w:rPr>
        <w:t>, precum și a celorlalte resurse de frecvențe în benzile E900 MHz și 2600 MHz rămase disponibile către această dată;</w:t>
      </w:r>
    </w:p>
    <w:p w:rsidR="00346CE4" w:rsidRPr="00346CE4" w:rsidRDefault="00346CE4" w:rsidP="00346CE4">
      <w:pPr>
        <w:tabs>
          <w:tab w:val="left" w:pos="0"/>
          <w:tab w:val="left" w:pos="1134"/>
        </w:tabs>
        <w:rPr>
          <w:sz w:val="24"/>
          <w:szCs w:val="24"/>
        </w:rPr>
      </w:pPr>
      <w:r w:rsidRPr="00346CE4">
        <w:rPr>
          <w:b/>
          <w:sz w:val="24"/>
          <w:szCs w:val="24"/>
        </w:rPr>
        <w:t>2) în termen de până la 30 iunie 2021</w:t>
      </w:r>
      <w:r w:rsidRPr="00346CE4">
        <w:rPr>
          <w:sz w:val="24"/>
          <w:szCs w:val="24"/>
        </w:rPr>
        <w:t xml:space="preserve"> se recomandă autorității de reglementare desfășurarea concursului prevăzut la subpunctul 1);</w:t>
      </w:r>
    </w:p>
    <w:p w:rsidR="00346CE4" w:rsidRPr="00346CE4" w:rsidRDefault="00346CE4" w:rsidP="00346CE4">
      <w:pPr>
        <w:tabs>
          <w:tab w:val="left" w:pos="0"/>
          <w:tab w:val="left" w:pos="709"/>
        </w:tabs>
        <w:rPr>
          <w:sz w:val="24"/>
          <w:szCs w:val="24"/>
        </w:rPr>
      </w:pPr>
      <w:r w:rsidRPr="00346CE4">
        <w:rPr>
          <w:b/>
          <w:sz w:val="24"/>
          <w:szCs w:val="24"/>
        </w:rPr>
        <w:t>3) în termen de până la 30 iunie 2022</w:t>
      </w:r>
      <w:r w:rsidRPr="00346CE4">
        <w:rPr>
          <w:sz w:val="24"/>
          <w:szCs w:val="24"/>
        </w:rPr>
        <w:t xml:space="preserve"> se recomandă autorității de reglementare elaborarea, consultarea publică </w:t>
      </w:r>
      <w:proofErr w:type="spellStart"/>
      <w:r w:rsidRPr="00346CE4">
        <w:rPr>
          <w:sz w:val="24"/>
          <w:szCs w:val="24"/>
        </w:rPr>
        <w:t>şi</w:t>
      </w:r>
      <w:proofErr w:type="spellEnd"/>
      <w:r w:rsidRPr="00346CE4">
        <w:rPr>
          <w:sz w:val="24"/>
          <w:szCs w:val="24"/>
        </w:rPr>
        <w:t xml:space="preserve"> aprobarea documentelor de concurs privind eliberarea </w:t>
      </w:r>
      <w:proofErr w:type="spellStart"/>
      <w:r w:rsidRPr="00346CE4">
        <w:rPr>
          <w:sz w:val="24"/>
          <w:szCs w:val="24"/>
        </w:rPr>
        <w:t>licenţelor</w:t>
      </w:r>
      <w:proofErr w:type="spellEnd"/>
      <w:r w:rsidRPr="00346CE4">
        <w:rPr>
          <w:sz w:val="24"/>
          <w:szCs w:val="24"/>
        </w:rPr>
        <w:t xml:space="preserve"> pentru dreptul de utilizare a resurselor de spectru radio din benzile de frecvențe 700 MHz și 3600 MHz, precum și a oricăror alte resurse de frecvențe în benzile E900 MHz și 2600 MHz rămase disponibile către această dată;</w:t>
      </w:r>
    </w:p>
    <w:p w:rsidR="00346CE4" w:rsidRPr="00346CE4" w:rsidRDefault="00346CE4" w:rsidP="00346CE4">
      <w:pPr>
        <w:tabs>
          <w:tab w:val="left" w:pos="0"/>
          <w:tab w:val="left" w:pos="709"/>
        </w:tabs>
        <w:rPr>
          <w:b/>
          <w:sz w:val="24"/>
          <w:szCs w:val="24"/>
        </w:rPr>
      </w:pPr>
      <w:r w:rsidRPr="00346CE4">
        <w:rPr>
          <w:b/>
          <w:sz w:val="24"/>
          <w:szCs w:val="24"/>
        </w:rPr>
        <w:t>4)</w:t>
      </w:r>
      <w:r w:rsidRPr="00346CE4">
        <w:rPr>
          <w:sz w:val="24"/>
          <w:szCs w:val="24"/>
        </w:rPr>
        <w:t xml:space="preserve"> </w:t>
      </w:r>
      <w:r w:rsidRPr="00346CE4">
        <w:rPr>
          <w:b/>
          <w:sz w:val="24"/>
          <w:szCs w:val="24"/>
        </w:rPr>
        <w:t>în termen de până la 30 septembrie 2022</w:t>
      </w:r>
      <w:r w:rsidRPr="00346CE4">
        <w:rPr>
          <w:sz w:val="24"/>
          <w:szCs w:val="24"/>
        </w:rPr>
        <w:t xml:space="preserve"> se recomandă autorității de reglementare desfășurarea concursului prevăzut la subpunctul 3);</w:t>
      </w:r>
    </w:p>
    <w:p w:rsidR="00346CE4" w:rsidRPr="00346CE4" w:rsidRDefault="00346CE4" w:rsidP="00346CE4">
      <w:pPr>
        <w:rPr>
          <w:sz w:val="24"/>
          <w:szCs w:val="24"/>
        </w:rPr>
      </w:pPr>
      <w:r w:rsidRPr="00346CE4">
        <w:rPr>
          <w:b/>
          <w:sz w:val="24"/>
          <w:szCs w:val="24"/>
        </w:rPr>
        <w:t>5) în termen de până la 30 iulie 2023</w:t>
      </w:r>
      <w:r w:rsidRPr="00346CE4">
        <w:rPr>
          <w:sz w:val="24"/>
          <w:szCs w:val="24"/>
        </w:rPr>
        <w:t xml:space="preserve"> se recomandă autorității de reglementare întreprinderea măsurilor necesare pentru sincronizarea termenelor de valabilitate a </w:t>
      </w:r>
      <w:proofErr w:type="spellStart"/>
      <w:r w:rsidRPr="00346CE4">
        <w:rPr>
          <w:sz w:val="24"/>
          <w:szCs w:val="24"/>
        </w:rPr>
        <w:t>licenţelor</w:t>
      </w:r>
      <w:proofErr w:type="spellEnd"/>
      <w:r w:rsidRPr="00346CE4">
        <w:rPr>
          <w:sz w:val="24"/>
          <w:szCs w:val="24"/>
        </w:rPr>
        <w:t xml:space="preserve"> de utilizare a frecvențelor în banda 2100 MHz ale Î.M. ,,</w:t>
      </w:r>
      <w:proofErr w:type="spellStart"/>
      <w:r w:rsidRPr="00346CE4">
        <w:rPr>
          <w:sz w:val="24"/>
          <w:szCs w:val="24"/>
        </w:rPr>
        <w:t>Moldcell</w:t>
      </w:r>
      <w:proofErr w:type="spellEnd"/>
      <w:r w:rsidRPr="00346CE4">
        <w:rPr>
          <w:sz w:val="24"/>
          <w:szCs w:val="24"/>
        </w:rPr>
        <w:t>” S.A. și Î.M. ,,Orange Moldova” S.A. cu termenul de valabilitate al licenței „</w:t>
      </w:r>
      <w:proofErr w:type="spellStart"/>
      <w:r w:rsidRPr="00346CE4">
        <w:rPr>
          <w:sz w:val="24"/>
          <w:szCs w:val="24"/>
        </w:rPr>
        <w:t>Moldtelecom</w:t>
      </w:r>
      <w:proofErr w:type="spellEnd"/>
      <w:r w:rsidRPr="00346CE4">
        <w:rPr>
          <w:sz w:val="24"/>
          <w:szCs w:val="24"/>
        </w:rPr>
        <w:t>” S.A. în aceeași bandă;</w:t>
      </w:r>
    </w:p>
    <w:p w:rsidR="00346CE4" w:rsidRPr="00346CE4" w:rsidRDefault="00346CE4" w:rsidP="00346CE4">
      <w:pPr>
        <w:tabs>
          <w:tab w:val="left" w:pos="0"/>
        </w:tabs>
        <w:rPr>
          <w:sz w:val="24"/>
          <w:szCs w:val="24"/>
        </w:rPr>
      </w:pPr>
      <w:r w:rsidRPr="00346CE4">
        <w:rPr>
          <w:b/>
          <w:sz w:val="24"/>
          <w:szCs w:val="24"/>
        </w:rPr>
        <w:t>6) în termen de până la 30 septembrie 2023</w:t>
      </w:r>
      <w:r w:rsidRPr="00346CE4">
        <w:rPr>
          <w:sz w:val="24"/>
          <w:szCs w:val="24"/>
        </w:rPr>
        <w:t xml:space="preserve"> se recomandă autorității de reglementare elaborarea, consultarea publică </w:t>
      </w:r>
      <w:proofErr w:type="spellStart"/>
      <w:r w:rsidRPr="00346CE4">
        <w:rPr>
          <w:sz w:val="24"/>
          <w:szCs w:val="24"/>
        </w:rPr>
        <w:t>şi</w:t>
      </w:r>
      <w:proofErr w:type="spellEnd"/>
      <w:r w:rsidRPr="00346CE4">
        <w:rPr>
          <w:sz w:val="24"/>
          <w:szCs w:val="24"/>
        </w:rPr>
        <w:t xml:space="preserve"> aprobarea documentelor de concurs privind eliberarea licențelor pentru dreptul de utilizare a resurselor de spectru radio în banda de frecvențe 2100 MHz și a celorlalte resurse de frecvențe în benzile 700 MHz, E900 MHz, 2600 MHz, 3600 MHz rămase disponibile către această dată;</w:t>
      </w:r>
    </w:p>
    <w:p w:rsidR="00346CE4" w:rsidRPr="00346CE4" w:rsidRDefault="00346CE4" w:rsidP="00346CE4">
      <w:pPr>
        <w:tabs>
          <w:tab w:val="left" w:pos="0"/>
        </w:tabs>
        <w:rPr>
          <w:b/>
          <w:sz w:val="24"/>
          <w:szCs w:val="24"/>
        </w:rPr>
      </w:pPr>
      <w:r w:rsidRPr="00346CE4">
        <w:rPr>
          <w:b/>
          <w:sz w:val="24"/>
          <w:szCs w:val="24"/>
        </w:rPr>
        <w:t>7) în termen de până la 9 decembrie 2023</w:t>
      </w:r>
      <w:r w:rsidRPr="00346CE4">
        <w:rPr>
          <w:sz w:val="24"/>
          <w:szCs w:val="24"/>
        </w:rPr>
        <w:t xml:space="preserve"> se recomandă autorității de reglementare desfășurarea concursului prevăzut la subpunctul 6);</w:t>
      </w:r>
    </w:p>
    <w:p w:rsidR="00346CE4" w:rsidRPr="00346CE4" w:rsidRDefault="00346CE4" w:rsidP="00346CE4">
      <w:pPr>
        <w:tabs>
          <w:tab w:val="left" w:pos="0"/>
          <w:tab w:val="left" w:pos="709"/>
        </w:tabs>
        <w:ind w:firstLine="720"/>
        <w:rPr>
          <w:sz w:val="24"/>
          <w:szCs w:val="24"/>
        </w:rPr>
      </w:pPr>
      <w:r w:rsidRPr="00346CE4">
        <w:rPr>
          <w:b/>
          <w:sz w:val="24"/>
          <w:szCs w:val="24"/>
        </w:rPr>
        <w:t>8) în termen de până la 30 iunie 2024</w:t>
      </w:r>
      <w:r w:rsidRPr="00346CE4">
        <w:rPr>
          <w:sz w:val="24"/>
          <w:szCs w:val="24"/>
        </w:rPr>
        <w:t xml:space="preserve"> se recomandă autorității de reglementare elaborarea, consultarea publică </w:t>
      </w:r>
      <w:proofErr w:type="spellStart"/>
      <w:r w:rsidRPr="00346CE4">
        <w:rPr>
          <w:sz w:val="24"/>
          <w:szCs w:val="24"/>
        </w:rPr>
        <w:t>şi</w:t>
      </w:r>
      <w:proofErr w:type="spellEnd"/>
      <w:r w:rsidRPr="00346CE4">
        <w:rPr>
          <w:sz w:val="24"/>
          <w:szCs w:val="24"/>
        </w:rPr>
        <w:t xml:space="preserve"> aprobarea documentelor de concurs privind eliberarea licențelor pentru dreptul de utilizare a resurselor de spectru radio disponibile în benzile de frecvențe 1500 MHz, 2300 MHz și 26 GHz, precum și a oricăror alte resurse prevăzute de acest program, rămase nealocate ca rezultat al exercițiilor anterioare de alocare a drepturilor de utilizare a frecvențelor;</w:t>
      </w:r>
    </w:p>
    <w:p w:rsidR="00346CE4" w:rsidRPr="00346CE4" w:rsidRDefault="00346CE4" w:rsidP="00346CE4">
      <w:pPr>
        <w:tabs>
          <w:tab w:val="left" w:pos="0"/>
          <w:tab w:val="left" w:pos="709"/>
        </w:tabs>
        <w:rPr>
          <w:sz w:val="24"/>
          <w:szCs w:val="24"/>
        </w:rPr>
      </w:pPr>
      <w:r w:rsidRPr="00346CE4">
        <w:rPr>
          <w:b/>
          <w:sz w:val="24"/>
          <w:szCs w:val="24"/>
        </w:rPr>
        <w:t>9) în termen de până la 30 septembrie 2024</w:t>
      </w:r>
      <w:r w:rsidRPr="00346CE4">
        <w:rPr>
          <w:sz w:val="24"/>
          <w:szCs w:val="24"/>
        </w:rPr>
        <w:t xml:space="preserve"> se recomandă autorității de reglementare desfășurarea concursului prevăzut la subpunctul 8).</w:t>
      </w:r>
    </w:p>
    <w:p w:rsidR="00346CE4" w:rsidRPr="00346CE4" w:rsidRDefault="00346CE4" w:rsidP="00346CE4">
      <w:pPr>
        <w:tabs>
          <w:tab w:val="left" w:pos="0"/>
          <w:tab w:val="left" w:pos="709"/>
        </w:tabs>
        <w:rPr>
          <w:sz w:val="24"/>
          <w:szCs w:val="24"/>
        </w:rPr>
      </w:pPr>
    </w:p>
    <w:p w:rsidR="00346CE4" w:rsidRPr="00346CE4" w:rsidRDefault="00346CE4" w:rsidP="00346CE4">
      <w:pPr>
        <w:tabs>
          <w:tab w:val="left" w:pos="0"/>
        </w:tabs>
        <w:ind w:firstLine="720"/>
        <w:rPr>
          <w:sz w:val="24"/>
          <w:szCs w:val="24"/>
        </w:rPr>
      </w:pPr>
      <w:r w:rsidRPr="00346CE4">
        <w:rPr>
          <w:b/>
          <w:sz w:val="24"/>
          <w:szCs w:val="24"/>
        </w:rPr>
        <w:t>13.</w:t>
      </w:r>
      <w:r w:rsidRPr="00346CE4">
        <w:rPr>
          <w:sz w:val="24"/>
          <w:szCs w:val="24"/>
        </w:rPr>
        <w:t xml:space="preserve"> Procedura de concurs sub formă de proces de selectare competitivă este una adecvată stadiului de dezvoltare a </w:t>
      </w:r>
      <w:proofErr w:type="spellStart"/>
      <w:r w:rsidRPr="00346CE4">
        <w:rPr>
          <w:sz w:val="24"/>
          <w:szCs w:val="24"/>
        </w:rPr>
        <w:t>pieţei</w:t>
      </w:r>
      <w:proofErr w:type="spellEnd"/>
      <w:r w:rsidRPr="00346CE4">
        <w:rPr>
          <w:sz w:val="24"/>
          <w:szCs w:val="24"/>
        </w:rPr>
        <w:t xml:space="preserve"> de </w:t>
      </w:r>
      <w:proofErr w:type="spellStart"/>
      <w:r w:rsidRPr="00346CE4">
        <w:rPr>
          <w:sz w:val="24"/>
          <w:szCs w:val="24"/>
        </w:rPr>
        <w:t>comunicaţii</w:t>
      </w:r>
      <w:proofErr w:type="spellEnd"/>
      <w:r w:rsidRPr="00346CE4">
        <w:rPr>
          <w:sz w:val="24"/>
          <w:szCs w:val="24"/>
        </w:rPr>
        <w:t xml:space="preserve"> electronice mobile din Republica Moldova. Acest tip de procedură este rezonabil de aplicat în scopul determinării, în anumite limite, a </w:t>
      </w:r>
      <w:proofErr w:type="spellStart"/>
      <w:r w:rsidRPr="00346CE4">
        <w:rPr>
          <w:sz w:val="24"/>
          <w:szCs w:val="24"/>
        </w:rPr>
        <w:t>preţului</w:t>
      </w:r>
      <w:proofErr w:type="spellEnd"/>
      <w:r w:rsidRPr="00346CE4">
        <w:rPr>
          <w:sz w:val="24"/>
          <w:szCs w:val="24"/>
        </w:rPr>
        <w:t xml:space="preserve"> pe </w:t>
      </w:r>
      <w:r w:rsidRPr="00346CE4">
        <w:rPr>
          <w:sz w:val="24"/>
          <w:szCs w:val="24"/>
        </w:rPr>
        <w:lastRenderedPageBreak/>
        <w:t xml:space="preserve">care </w:t>
      </w:r>
      <w:proofErr w:type="spellStart"/>
      <w:r w:rsidRPr="00346CE4">
        <w:rPr>
          <w:sz w:val="24"/>
          <w:szCs w:val="24"/>
        </w:rPr>
        <w:t>piaţa</w:t>
      </w:r>
      <w:proofErr w:type="spellEnd"/>
      <w:r w:rsidRPr="00346CE4">
        <w:rPr>
          <w:sz w:val="24"/>
          <w:szCs w:val="24"/>
        </w:rPr>
        <w:t xml:space="preserve"> de </w:t>
      </w:r>
      <w:proofErr w:type="spellStart"/>
      <w:r w:rsidRPr="00346CE4">
        <w:rPr>
          <w:sz w:val="24"/>
          <w:szCs w:val="24"/>
        </w:rPr>
        <w:t>comunicaţii</w:t>
      </w:r>
      <w:proofErr w:type="spellEnd"/>
      <w:r w:rsidRPr="00346CE4">
        <w:rPr>
          <w:sz w:val="24"/>
          <w:szCs w:val="24"/>
        </w:rPr>
        <w:t xml:space="preserve"> electronice consimte să-l achite cu titlu de taxă de </w:t>
      </w:r>
      <w:proofErr w:type="spellStart"/>
      <w:r w:rsidRPr="00346CE4">
        <w:rPr>
          <w:sz w:val="24"/>
          <w:szCs w:val="24"/>
        </w:rPr>
        <w:t>licenţă</w:t>
      </w:r>
      <w:proofErr w:type="spellEnd"/>
      <w:r w:rsidRPr="00346CE4">
        <w:rPr>
          <w:sz w:val="24"/>
          <w:szCs w:val="24"/>
        </w:rPr>
        <w:t xml:space="preserve"> pentru dreptul de utilizare a resurselor limitate - </w:t>
      </w:r>
      <w:proofErr w:type="spellStart"/>
      <w:r w:rsidRPr="00346CE4">
        <w:rPr>
          <w:sz w:val="24"/>
          <w:szCs w:val="24"/>
        </w:rPr>
        <w:t>frecvenţele</w:t>
      </w:r>
      <w:proofErr w:type="spellEnd"/>
      <w:r w:rsidRPr="00346CE4">
        <w:rPr>
          <w:sz w:val="24"/>
          <w:szCs w:val="24"/>
        </w:rPr>
        <w:t xml:space="preserve"> radio. Procedura de selectare de tip licitație este potrivită, deoarece în acest fel poate fi </w:t>
      </w:r>
      <w:proofErr w:type="spellStart"/>
      <w:r w:rsidRPr="00346CE4">
        <w:rPr>
          <w:sz w:val="24"/>
          <w:szCs w:val="24"/>
        </w:rPr>
        <w:t>evidenţiat</w:t>
      </w:r>
      <w:proofErr w:type="spellEnd"/>
      <w:r w:rsidRPr="00346CE4">
        <w:rPr>
          <w:sz w:val="24"/>
          <w:szCs w:val="24"/>
        </w:rPr>
        <w:t xml:space="preserve"> </w:t>
      </w:r>
      <w:proofErr w:type="spellStart"/>
      <w:r w:rsidRPr="00346CE4">
        <w:rPr>
          <w:sz w:val="24"/>
          <w:szCs w:val="24"/>
        </w:rPr>
        <w:t>potenţialul</w:t>
      </w:r>
      <w:proofErr w:type="spellEnd"/>
      <w:r w:rsidRPr="00346CE4">
        <w:rPr>
          <w:sz w:val="24"/>
          <w:szCs w:val="24"/>
        </w:rPr>
        <w:t xml:space="preserve"> economic oferit de către spectrul de </w:t>
      </w:r>
      <w:proofErr w:type="spellStart"/>
      <w:r w:rsidRPr="00346CE4">
        <w:rPr>
          <w:sz w:val="24"/>
          <w:szCs w:val="24"/>
        </w:rPr>
        <w:t>frecvenţe</w:t>
      </w:r>
      <w:proofErr w:type="spellEnd"/>
      <w:r w:rsidRPr="00346CE4">
        <w:rPr>
          <w:sz w:val="24"/>
          <w:szCs w:val="24"/>
        </w:rPr>
        <w:t xml:space="preserve"> radio, în general, precum </w:t>
      </w:r>
      <w:proofErr w:type="spellStart"/>
      <w:r w:rsidRPr="00346CE4">
        <w:rPr>
          <w:sz w:val="24"/>
          <w:szCs w:val="24"/>
        </w:rPr>
        <w:t>şi</w:t>
      </w:r>
      <w:proofErr w:type="spellEnd"/>
      <w:r w:rsidRPr="00346CE4">
        <w:rPr>
          <w:sz w:val="24"/>
          <w:szCs w:val="24"/>
        </w:rPr>
        <w:t xml:space="preserve"> nivelul de valorizare a acestora de către persoanele interesate în contextul propriilor planuri de afaceri.</w:t>
      </w:r>
    </w:p>
    <w:p w:rsidR="00346CE4" w:rsidRPr="00346CE4" w:rsidRDefault="00346CE4" w:rsidP="00346CE4">
      <w:pPr>
        <w:tabs>
          <w:tab w:val="left" w:pos="0"/>
        </w:tabs>
        <w:ind w:firstLine="720"/>
        <w:rPr>
          <w:sz w:val="24"/>
          <w:szCs w:val="24"/>
        </w:rPr>
      </w:pPr>
    </w:p>
    <w:p w:rsidR="00346CE4" w:rsidRPr="00346CE4" w:rsidRDefault="00346CE4" w:rsidP="00346CE4">
      <w:pPr>
        <w:ind w:firstLine="720"/>
        <w:rPr>
          <w:b/>
          <w:sz w:val="24"/>
          <w:szCs w:val="24"/>
        </w:rPr>
      </w:pPr>
      <w:r w:rsidRPr="00346CE4">
        <w:rPr>
          <w:b/>
          <w:sz w:val="24"/>
          <w:szCs w:val="24"/>
        </w:rPr>
        <w:t xml:space="preserve">14. </w:t>
      </w:r>
      <w:r w:rsidRPr="00346CE4">
        <w:rPr>
          <w:sz w:val="24"/>
          <w:szCs w:val="24"/>
        </w:rPr>
        <w:t>În cazuri specifice este necesar ca termenele de expirare a drepturilor noi de utilizare a frecvențelor radio să fie ajustate la termenul de expirare al unor drepturi de utilizare a frecvențelor radio deja existente în aceeași bandă sau în benzi diferite, dar care oferă oportunități ca frecvențele să fie utilizate, în mod alternativ sau complementar, de către rețelele mobile ce fac parte din același ecosistem. Din aceste considerente, pentru resurse de spectru în benzile E900 MHz și 2600 MHz expirarea termenului de valabilitate a drepturilor de utilizare va fi sincronizat cu termenul de expirare a drepturilor existente de utilizare a frecvențelor în benzile similare:</w:t>
      </w:r>
    </w:p>
    <w:p w:rsidR="00346CE4" w:rsidRPr="00346CE4" w:rsidRDefault="00346CE4" w:rsidP="00346CE4">
      <w:pPr>
        <w:ind w:firstLine="708"/>
        <w:rPr>
          <w:sz w:val="24"/>
          <w:szCs w:val="24"/>
        </w:rPr>
      </w:pPr>
      <w:r w:rsidRPr="00346CE4">
        <w:rPr>
          <w:sz w:val="24"/>
          <w:szCs w:val="24"/>
        </w:rPr>
        <w:t xml:space="preserve">1) drepturile de utilizare a </w:t>
      </w:r>
      <w:proofErr w:type="spellStart"/>
      <w:r w:rsidRPr="00346CE4">
        <w:rPr>
          <w:sz w:val="24"/>
          <w:szCs w:val="24"/>
        </w:rPr>
        <w:t>frecvenţelor</w:t>
      </w:r>
      <w:proofErr w:type="spellEnd"/>
      <w:r w:rsidRPr="00346CE4">
        <w:rPr>
          <w:sz w:val="24"/>
          <w:szCs w:val="24"/>
        </w:rPr>
        <w:t xml:space="preserve"> radio acordate în benzile de </w:t>
      </w:r>
      <w:proofErr w:type="spellStart"/>
      <w:r w:rsidRPr="00346CE4">
        <w:rPr>
          <w:sz w:val="24"/>
          <w:szCs w:val="24"/>
        </w:rPr>
        <w:t>frecvenţe</w:t>
      </w:r>
      <w:proofErr w:type="spellEnd"/>
      <w:r w:rsidRPr="00346CE4">
        <w:rPr>
          <w:sz w:val="24"/>
          <w:szCs w:val="24"/>
        </w:rPr>
        <w:t xml:space="preserve"> 700 MHz, 1500 MHz, 2100 MHz (exceptând cazul sincronizării termenelor de valabilitate a licențelor prevăzut la punctul 12, subpunctul 5), 2300 MHz, 3600 MHz </w:t>
      </w:r>
      <w:proofErr w:type="spellStart"/>
      <w:r w:rsidRPr="00346CE4">
        <w:rPr>
          <w:sz w:val="24"/>
          <w:szCs w:val="24"/>
        </w:rPr>
        <w:t>şi</w:t>
      </w:r>
      <w:proofErr w:type="spellEnd"/>
      <w:r w:rsidRPr="00346CE4">
        <w:rPr>
          <w:sz w:val="24"/>
          <w:szCs w:val="24"/>
        </w:rPr>
        <w:t xml:space="preserve"> 26 GHz vor fi alocate conform termenului general de valabilitate;</w:t>
      </w:r>
    </w:p>
    <w:p w:rsidR="00346CE4" w:rsidRPr="00346CE4" w:rsidRDefault="00346CE4" w:rsidP="00346CE4">
      <w:pPr>
        <w:ind w:firstLine="708"/>
        <w:rPr>
          <w:sz w:val="24"/>
          <w:szCs w:val="24"/>
        </w:rPr>
      </w:pPr>
      <w:r w:rsidRPr="00346CE4">
        <w:rPr>
          <w:sz w:val="24"/>
          <w:szCs w:val="24"/>
        </w:rPr>
        <w:t xml:space="preserve">2) durata valabilității licenței de utilizare a frecvențelor în banda 450 MHz va constitui 5 ani, resursele de spectru fiind destinate exclusiv pentru prestarea serviciilor de telefonie fixă prin intermediul rețelelor prin </w:t>
      </w:r>
      <w:proofErr w:type="spellStart"/>
      <w:r w:rsidRPr="00346CE4">
        <w:rPr>
          <w:sz w:val="24"/>
          <w:szCs w:val="24"/>
        </w:rPr>
        <w:t>radioacces</w:t>
      </w:r>
      <w:proofErr w:type="spellEnd"/>
      <w:r w:rsidRPr="00346CE4">
        <w:rPr>
          <w:sz w:val="24"/>
          <w:szCs w:val="24"/>
        </w:rPr>
        <w:t xml:space="preserve"> la bucla locală CDMA2000 (WLL);</w:t>
      </w:r>
    </w:p>
    <w:p w:rsidR="00346CE4" w:rsidRPr="00346CE4" w:rsidRDefault="00346CE4" w:rsidP="00346CE4">
      <w:pPr>
        <w:ind w:firstLine="708"/>
        <w:rPr>
          <w:sz w:val="24"/>
          <w:szCs w:val="24"/>
        </w:rPr>
      </w:pPr>
      <w:r w:rsidRPr="00346CE4">
        <w:rPr>
          <w:sz w:val="24"/>
          <w:szCs w:val="24"/>
        </w:rPr>
        <w:t>3) în cazul alocării altor frecvențe rămase nealocate ca rezultat al exercițiilor anterioare de alocare a drepturilor de utilizare a frecvențelor, termenele de expirare a drepturilor pentru aceste benzi se vor sincroniza ținând cont de prevederile de sincronizare stabilite pentru etapele anterioare;</w:t>
      </w:r>
    </w:p>
    <w:p w:rsidR="00346CE4" w:rsidRPr="00346CE4" w:rsidRDefault="00346CE4" w:rsidP="00346CE4">
      <w:pPr>
        <w:ind w:firstLine="708"/>
        <w:rPr>
          <w:sz w:val="24"/>
          <w:szCs w:val="24"/>
        </w:rPr>
      </w:pPr>
      <w:r w:rsidRPr="00346CE4">
        <w:rPr>
          <w:sz w:val="24"/>
          <w:szCs w:val="24"/>
        </w:rPr>
        <w:t>4) în mod permanent, în funcție de necesitățile dictate de evoluția tehnologică, pentru condițiile actuale de licență, cu acordul titularilor actuali de drepturi de utilizare a frecvențelor, se va efectua modificarea condițiilor speciale-tip ale licenței de utilizare a canalelor sau a frecvențelor radio prin introducerea actualizărilor și precizărilor de rigoare, astfel încât acestea să ofere titularilor dreptul de a reutiliza benzile pentru tehnologii mai noi, față de sistemele actuale în aceste benzi;</w:t>
      </w:r>
    </w:p>
    <w:p w:rsidR="00346CE4" w:rsidRPr="00346CE4" w:rsidRDefault="00346CE4" w:rsidP="00346CE4">
      <w:pPr>
        <w:ind w:firstLine="708"/>
        <w:rPr>
          <w:sz w:val="24"/>
          <w:szCs w:val="24"/>
        </w:rPr>
      </w:pPr>
      <w:r w:rsidRPr="00346CE4">
        <w:rPr>
          <w:sz w:val="24"/>
          <w:szCs w:val="24"/>
        </w:rPr>
        <w:t xml:space="preserve">5) drepturile de utilizare a frecvențelor radio prevăzute în cadrul prezentului Program se vor acorda cu </w:t>
      </w:r>
      <w:proofErr w:type="spellStart"/>
      <w:r w:rsidRPr="00346CE4">
        <w:rPr>
          <w:sz w:val="24"/>
          <w:szCs w:val="24"/>
        </w:rPr>
        <w:t>condiţia</w:t>
      </w:r>
      <w:proofErr w:type="spellEnd"/>
      <w:r w:rsidRPr="00346CE4">
        <w:rPr>
          <w:sz w:val="24"/>
          <w:szCs w:val="24"/>
        </w:rPr>
        <w:t xml:space="preserve"> că beneficiarul </w:t>
      </w:r>
      <w:proofErr w:type="spellStart"/>
      <w:r w:rsidRPr="00346CE4">
        <w:rPr>
          <w:sz w:val="24"/>
          <w:szCs w:val="24"/>
        </w:rPr>
        <w:t>licenţei</w:t>
      </w:r>
      <w:proofErr w:type="spellEnd"/>
      <w:r w:rsidRPr="00346CE4">
        <w:rPr>
          <w:sz w:val="24"/>
          <w:szCs w:val="24"/>
        </w:rPr>
        <w:t xml:space="preserve"> corespunzătoare a achitat integral la bugetul de stat taxa de </w:t>
      </w:r>
      <w:proofErr w:type="spellStart"/>
      <w:r w:rsidRPr="00346CE4">
        <w:rPr>
          <w:sz w:val="24"/>
          <w:szCs w:val="24"/>
        </w:rPr>
        <w:t>licenţă</w:t>
      </w:r>
      <w:proofErr w:type="spellEnd"/>
      <w:r w:rsidRPr="00346CE4">
        <w:rPr>
          <w:sz w:val="24"/>
          <w:szCs w:val="24"/>
        </w:rPr>
        <w:t xml:space="preserve"> stabilită în urma concursului în termenul prevăzut, precum și plățile pentru serviciile aferente managementului tehnic al spectrului de frecvențe radio prestate de către organismul </w:t>
      </w:r>
      <w:proofErr w:type="spellStart"/>
      <w:r w:rsidRPr="00346CE4">
        <w:rPr>
          <w:sz w:val="24"/>
          <w:szCs w:val="24"/>
        </w:rPr>
        <w:t>naţional</w:t>
      </w:r>
      <w:proofErr w:type="spellEnd"/>
      <w:r w:rsidRPr="00346CE4">
        <w:rPr>
          <w:sz w:val="24"/>
          <w:szCs w:val="24"/>
        </w:rPr>
        <w:t xml:space="preserve"> de gestionare tehnică a spectrului de </w:t>
      </w:r>
      <w:proofErr w:type="spellStart"/>
      <w:r w:rsidRPr="00346CE4">
        <w:rPr>
          <w:sz w:val="24"/>
          <w:szCs w:val="24"/>
        </w:rPr>
        <w:t>frecvenţe</w:t>
      </w:r>
      <w:proofErr w:type="spellEnd"/>
      <w:r w:rsidRPr="00346CE4">
        <w:rPr>
          <w:sz w:val="24"/>
          <w:szCs w:val="24"/>
        </w:rPr>
        <w:t xml:space="preserve"> radio. Achitarea taxei de </w:t>
      </w:r>
      <w:proofErr w:type="spellStart"/>
      <w:r w:rsidRPr="00346CE4">
        <w:rPr>
          <w:sz w:val="24"/>
          <w:szCs w:val="24"/>
        </w:rPr>
        <w:t>licenţă</w:t>
      </w:r>
      <w:proofErr w:type="spellEnd"/>
      <w:r w:rsidRPr="00346CE4">
        <w:rPr>
          <w:sz w:val="24"/>
          <w:szCs w:val="24"/>
        </w:rPr>
        <w:t xml:space="preserve"> se va face în lei </w:t>
      </w:r>
      <w:proofErr w:type="spellStart"/>
      <w:r w:rsidRPr="00346CE4">
        <w:rPr>
          <w:sz w:val="24"/>
          <w:szCs w:val="24"/>
        </w:rPr>
        <w:t>moldoveneşti</w:t>
      </w:r>
      <w:proofErr w:type="spellEnd"/>
      <w:r w:rsidRPr="00346CE4">
        <w:rPr>
          <w:sz w:val="24"/>
          <w:szCs w:val="24"/>
        </w:rPr>
        <w:t xml:space="preserve"> la cursul oficial al Băncii </w:t>
      </w:r>
      <w:proofErr w:type="spellStart"/>
      <w:r w:rsidRPr="00346CE4">
        <w:rPr>
          <w:sz w:val="24"/>
          <w:szCs w:val="24"/>
        </w:rPr>
        <w:t>Naţionale</w:t>
      </w:r>
      <w:proofErr w:type="spellEnd"/>
      <w:r w:rsidRPr="00346CE4">
        <w:rPr>
          <w:sz w:val="24"/>
          <w:szCs w:val="24"/>
        </w:rPr>
        <w:t xml:space="preserve"> a Moldovei stabilit în raport cu euro la data </w:t>
      </w:r>
      <w:proofErr w:type="spellStart"/>
      <w:r w:rsidRPr="00346CE4">
        <w:rPr>
          <w:sz w:val="24"/>
          <w:szCs w:val="24"/>
        </w:rPr>
        <w:t>plăţii</w:t>
      </w:r>
      <w:proofErr w:type="spellEnd"/>
      <w:r w:rsidRPr="00346CE4">
        <w:rPr>
          <w:sz w:val="24"/>
          <w:szCs w:val="24"/>
        </w:rPr>
        <w:t>;</w:t>
      </w:r>
    </w:p>
    <w:p w:rsidR="00346CE4" w:rsidRPr="00346CE4" w:rsidRDefault="00346CE4" w:rsidP="00346CE4">
      <w:pPr>
        <w:ind w:firstLine="708"/>
        <w:rPr>
          <w:iCs/>
          <w:sz w:val="24"/>
          <w:szCs w:val="24"/>
        </w:rPr>
      </w:pPr>
      <w:r w:rsidRPr="00346CE4">
        <w:rPr>
          <w:iCs/>
          <w:sz w:val="24"/>
          <w:szCs w:val="24"/>
        </w:rPr>
        <w:t xml:space="preserve">6) având în vedere faptul că datorită proprietăților fizice de propagare ale undelor radio în benzile de </w:t>
      </w:r>
      <w:proofErr w:type="spellStart"/>
      <w:r w:rsidRPr="00346CE4">
        <w:rPr>
          <w:iCs/>
          <w:sz w:val="24"/>
          <w:szCs w:val="24"/>
        </w:rPr>
        <w:t>frecvenţe</w:t>
      </w:r>
      <w:proofErr w:type="spellEnd"/>
      <w:r w:rsidRPr="00346CE4">
        <w:rPr>
          <w:iCs/>
          <w:sz w:val="24"/>
          <w:szCs w:val="24"/>
        </w:rPr>
        <w:t xml:space="preserve"> 3400-3800 MHz și </w:t>
      </w:r>
      <w:r w:rsidRPr="00346CE4">
        <w:rPr>
          <w:sz w:val="24"/>
          <w:szCs w:val="24"/>
        </w:rPr>
        <w:t xml:space="preserve">24,25-27,5 </w:t>
      </w:r>
      <w:r w:rsidRPr="00346CE4">
        <w:rPr>
          <w:iCs/>
          <w:sz w:val="24"/>
          <w:szCs w:val="24"/>
        </w:rPr>
        <w:t>GHz zonele de deservire ale stațiilor de bază în aceste benzi sunt foarte mici, nu este rezonabilă impunerea obligațiilor de acoperire a teritoriului Republicii Moldova</w:t>
      </w:r>
      <w:r w:rsidRPr="00346CE4" w:rsidDel="003D710D">
        <w:rPr>
          <w:iCs/>
          <w:sz w:val="24"/>
          <w:szCs w:val="24"/>
        </w:rPr>
        <w:t xml:space="preserve"> </w:t>
      </w:r>
      <w:r w:rsidRPr="00346CE4">
        <w:rPr>
          <w:iCs/>
          <w:sz w:val="24"/>
          <w:szCs w:val="24"/>
        </w:rPr>
        <w:t xml:space="preserve">în </w:t>
      </w:r>
      <w:proofErr w:type="spellStart"/>
      <w:r w:rsidRPr="00346CE4">
        <w:rPr>
          <w:iCs/>
          <w:sz w:val="24"/>
          <w:szCs w:val="24"/>
        </w:rPr>
        <w:t>condiţiile</w:t>
      </w:r>
      <w:proofErr w:type="spellEnd"/>
      <w:r w:rsidRPr="00346CE4">
        <w:rPr>
          <w:iCs/>
          <w:sz w:val="24"/>
          <w:szCs w:val="24"/>
        </w:rPr>
        <w:t xml:space="preserve"> speciale</w:t>
      </w:r>
      <w:r w:rsidRPr="00346CE4">
        <w:rPr>
          <w:iCs/>
          <w:sz w:val="24"/>
          <w:szCs w:val="24"/>
        </w:rPr>
        <w:noBreakHyphen/>
        <w:t xml:space="preserve">tip de </w:t>
      </w:r>
      <w:proofErr w:type="spellStart"/>
      <w:r w:rsidRPr="00346CE4">
        <w:rPr>
          <w:iCs/>
          <w:sz w:val="24"/>
          <w:szCs w:val="24"/>
        </w:rPr>
        <w:t>licenţă</w:t>
      </w:r>
      <w:proofErr w:type="spellEnd"/>
      <w:r w:rsidRPr="00346CE4">
        <w:rPr>
          <w:iCs/>
          <w:sz w:val="24"/>
          <w:szCs w:val="24"/>
        </w:rPr>
        <w:t xml:space="preserve"> pentru utilizarea </w:t>
      </w:r>
      <w:proofErr w:type="spellStart"/>
      <w:r w:rsidRPr="00346CE4">
        <w:rPr>
          <w:iCs/>
          <w:sz w:val="24"/>
          <w:szCs w:val="24"/>
        </w:rPr>
        <w:t>frecvenţelor</w:t>
      </w:r>
      <w:proofErr w:type="spellEnd"/>
      <w:r w:rsidRPr="00346CE4">
        <w:rPr>
          <w:iCs/>
          <w:sz w:val="24"/>
          <w:szCs w:val="24"/>
        </w:rPr>
        <w:t>/canalelor radio din benzile nominalizate.</w:t>
      </w:r>
    </w:p>
    <w:p w:rsidR="00346CE4" w:rsidRPr="00346CE4" w:rsidRDefault="00346CE4" w:rsidP="00346CE4">
      <w:pPr>
        <w:tabs>
          <w:tab w:val="left" w:pos="0"/>
        </w:tabs>
        <w:jc w:val="center"/>
        <w:outlineLvl w:val="0"/>
        <w:rPr>
          <w:sz w:val="24"/>
          <w:szCs w:val="24"/>
        </w:rPr>
      </w:pPr>
    </w:p>
    <w:p w:rsidR="00346CE4" w:rsidRPr="00346CE4" w:rsidRDefault="00346CE4" w:rsidP="00346CE4">
      <w:pPr>
        <w:tabs>
          <w:tab w:val="left" w:pos="0"/>
        </w:tabs>
        <w:ind w:firstLine="0"/>
        <w:jc w:val="center"/>
        <w:outlineLvl w:val="0"/>
        <w:rPr>
          <w:b/>
          <w:sz w:val="24"/>
          <w:szCs w:val="24"/>
        </w:rPr>
      </w:pPr>
      <w:r w:rsidRPr="00346CE4">
        <w:rPr>
          <w:b/>
          <w:sz w:val="24"/>
          <w:szCs w:val="24"/>
        </w:rPr>
        <w:t>IV. OBIECTIVE SPECIFICE</w:t>
      </w:r>
    </w:p>
    <w:p w:rsidR="00346CE4" w:rsidRPr="00346CE4" w:rsidRDefault="00346CE4" w:rsidP="00346CE4">
      <w:pPr>
        <w:tabs>
          <w:tab w:val="left" w:pos="0"/>
        </w:tabs>
        <w:jc w:val="center"/>
        <w:outlineLvl w:val="0"/>
        <w:rPr>
          <w:b/>
          <w:sz w:val="24"/>
          <w:szCs w:val="24"/>
        </w:rPr>
      </w:pPr>
    </w:p>
    <w:p w:rsidR="00346CE4" w:rsidRPr="00346CE4" w:rsidRDefault="00346CE4" w:rsidP="00346CE4">
      <w:pPr>
        <w:tabs>
          <w:tab w:val="left" w:pos="0"/>
        </w:tabs>
        <w:ind w:firstLine="720"/>
        <w:outlineLvl w:val="0"/>
        <w:rPr>
          <w:sz w:val="24"/>
          <w:szCs w:val="24"/>
        </w:rPr>
      </w:pPr>
      <w:r w:rsidRPr="00346CE4">
        <w:rPr>
          <w:b/>
          <w:sz w:val="24"/>
          <w:szCs w:val="24"/>
        </w:rPr>
        <w:t>15.</w:t>
      </w:r>
      <w:r w:rsidRPr="00346CE4">
        <w:rPr>
          <w:sz w:val="24"/>
          <w:szCs w:val="24"/>
        </w:rPr>
        <w:t xml:space="preserve"> Organul central de specialitate a analizat </w:t>
      </w:r>
      <w:proofErr w:type="spellStart"/>
      <w:r w:rsidRPr="00346CE4">
        <w:rPr>
          <w:sz w:val="24"/>
          <w:szCs w:val="24"/>
        </w:rPr>
        <w:t>situaţia</w:t>
      </w:r>
      <w:proofErr w:type="spellEnd"/>
      <w:r w:rsidRPr="00346CE4">
        <w:rPr>
          <w:sz w:val="24"/>
          <w:szCs w:val="24"/>
        </w:rPr>
        <w:t xml:space="preserve"> actuală a utilizării benzilor de </w:t>
      </w:r>
      <w:proofErr w:type="spellStart"/>
      <w:r w:rsidRPr="00346CE4">
        <w:rPr>
          <w:sz w:val="24"/>
          <w:szCs w:val="24"/>
        </w:rPr>
        <w:t>frecvenţe</w:t>
      </w:r>
      <w:proofErr w:type="spellEnd"/>
      <w:r w:rsidRPr="00346CE4">
        <w:rPr>
          <w:sz w:val="24"/>
          <w:szCs w:val="24"/>
        </w:rPr>
        <w:t xml:space="preserve"> radio specificate la capitolul II al prezentului Program, ținând cont de reglementările tehnice și administrative relevante pentru benzile în discuție </w:t>
      </w:r>
      <w:proofErr w:type="spellStart"/>
      <w:r w:rsidRPr="00346CE4">
        <w:rPr>
          <w:sz w:val="24"/>
          <w:szCs w:val="24"/>
        </w:rPr>
        <w:t>şi</w:t>
      </w:r>
      <w:proofErr w:type="spellEnd"/>
      <w:r w:rsidRPr="00346CE4">
        <w:rPr>
          <w:sz w:val="24"/>
          <w:szCs w:val="24"/>
        </w:rPr>
        <w:t xml:space="preserve"> luând în considerare experiența acumulată în ceea ce privește gestionarea acestor benzi de frecvențe atât pe plan intern, cât și pe plan internațional.</w:t>
      </w:r>
    </w:p>
    <w:p w:rsidR="00346CE4" w:rsidRPr="00346CE4" w:rsidRDefault="00346CE4" w:rsidP="00346CE4">
      <w:pPr>
        <w:tabs>
          <w:tab w:val="left" w:pos="0"/>
        </w:tabs>
        <w:ind w:firstLine="720"/>
        <w:outlineLvl w:val="0"/>
        <w:rPr>
          <w:sz w:val="24"/>
          <w:szCs w:val="24"/>
        </w:rPr>
      </w:pPr>
      <w:r w:rsidRPr="00346CE4">
        <w:rPr>
          <w:sz w:val="24"/>
          <w:szCs w:val="24"/>
        </w:rPr>
        <w:lastRenderedPageBreak/>
        <w:t>În urma analizei efectuate au fost stabilite obiective specifice care vor fi atinse datorită implementării prezentului Program:</w:t>
      </w:r>
    </w:p>
    <w:p w:rsidR="00346CE4" w:rsidRPr="00346CE4" w:rsidRDefault="00346CE4" w:rsidP="00346CE4">
      <w:pPr>
        <w:tabs>
          <w:tab w:val="left" w:pos="0"/>
        </w:tabs>
        <w:outlineLvl w:val="0"/>
        <w:rPr>
          <w:sz w:val="24"/>
          <w:szCs w:val="24"/>
        </w:rPr>
      </w:pPr>
      <w:r w:rsidRPr="00346CE4">
        <w:rPr>
          <w:sz w:val="24"/>
          <w:szCs w:val="24"/>
        </w:rPr>
        <w:t xml:space="preserve">1) crearea condițiilor pentru asigurarea continuității activității furnizorilor existenți de rețele și/sau servicii de comunicații electronice mobile după expirarea termenului de valabilitate a licențelor existente în benzile 450 MHz, E900 MHz și 2600 MHz în condiții transparente și nediscriminatorii; </w:t>
      </w:r>
    </w:p>
    <w:p w:rsidR="00346CE4" w:rsidRPr="00346CE4" w:rsidRDefault="00346CE4" w:rsidP="00346CE4">
      <w:pPr>
        <w:tabs>
          <w:tab w:val="left" w:pos="0"/>
        </w:tabs>
        <w:outlineLvl w:val="0"/>
        <w:rPr>
          <w:sz w:val="24"/>
          <w:szCs w:val="24"/>
        </w:rPr>
      </w:pPr>
      <w:r w:rsidRPr="00346CE4">
        <w:rPr>
          <w:sz w:val="24"/>
          <w:szCs w:val="24"/>
        </w:rPr>
        <w:t>2) punerea la dispoziția pieței de comunicații electronice mobile a tuturor resurselor de spectru în benzile de frecvențe 700 MHz, E900 MHz, 1500 MHz, 2100 MHz, 2300 MHz, 2600 MHz, 3600 MHz, 26 GHz până în anul 2025, pentru implementarea tehnologiilor avansate de comunicații mobile 4G, 5G, în condiții de neutralitate tehnologică;</w:t>
      </w:r>
    </w:p>
    <w:p w:rsidR="00346CE4" w:rsidRPr="00346CE4" w:rsidRDefault="00346CE4" w:rsidP="00346CE4">
      <w:pPr>
        <w:tabs>
          <w:tab w:val="left" w:pos="0"/>
        </w:tabs>
        <w:outlineLvl w:val="0"/>
        <w:rPr>
          <w:sz w:val="24"/>
          <w:szCs w:val="24"/>
        </w:rPr>
      </w:pPr>
      <w:r w:rsidRPr="00346CE4">
        <w:rPr>
          <w:sz w:val="24"/>
          <w:szCs w:val="24"/>
        </w:rPr>
        <w:t>3) reducerea decalajului digital dintre zonele urbane și cele rurale, prin asigurarea zonelor populate cu acoperire semnal radio 4G/5G până în anul 2025, la cota de acoperire cumulativă de 97% a populației;</w:t>
      </w:r>
    </w:p>
    <w:p w:rsidR="00346CE4" w:rsidRPr="00346CE4" w:rsidRDefault="00346CE4" w:rsidP="00346CE4">
      <w:pPr>
        <w:tabs>
          <w:tab w:val="left" w:pos="0"/>
        </w:tabs>
        <w:ind w:firstLine="720"/>
        <w:outlineLvl w:val="0"/>
        <w:rPr>
          <w:sz w:val="24"/>
          <w:szCs w:val="24"/>
        </w:rPr>
      </w:pPr>
      <w:r w:rsidRPr="00346CE4">
        <w:rPr>
          <w:sz w:val="24"/>
          <w:szCs w:val="24"/>
        </w:rPr>
        <w:t>4) îmbunătățirea calității serviciilor și a experienței utilizatorilor finali ai rețelelor de comunicații mobile prin mărirea vitezei medii de transfer de date a legăturii descendente până la 50 Mbps până în anul 2025;</w:t>
      </w:r>
    </w:p>
    <w:p w:rsidR="00346CE4" w:rsidRPr="00346CE4" w:rsidRDefault="00346CE4" w:rsidP="00346CE4">
      <w:pPr>
        <w:tabs>
          <w:tab w:val="left" w:pos="0"/>
        </w:tabs>
        <w:outlineLvl w:val="0"/>
        <w:rPr>
          <w:sz w:val="24"/>
          <w:szCs w:val="24"/>
        </w:rPr>
      </w:pPr>
      <w:r w:rsidRPr="00346CE4">
        <w:rPr>
          <w:sz w:val="24"/>
          <w:szCs w:val="24"/>
        </w:rPr>
        <w:t>5) asigurarea ratei lungimii drumurilor publice naționale acoperite cu viteze de legături descendente de cel puțin 2 Mbps de fiecare furnizor până în anul 2025.</w:t>
      </w:r>
    </w:p>
    <w:p w:rsidR="00346CE4" w:rsidRPr="00346CE4" w:rsidRDefault="00346CE4" w:rsidP="00346CE4">
      <w:pPr>
        <w:tabs>
          <w:tab w:val="left" w:pos="0"/>
        </w:tabs>
        <w:outlineLvl w:val="0"/>
        <w:rPr>
          <w:sz w:val="24"/>
          <w:szCs w:val="24"/>
        </w:rPr>
      </w:pPr>
      <w:r w:rsidRPr="00346CE4">
        <w:rPr>
          <w:sz w:val="24"/>
          <w:szCs w:val="24"/>
        </w:rPr>
        <w:t>Lista drumurilor și indicatorii de calitate țintiți urmează a fi stabiliți de autoritatea de reglementare în comun cu furnizorii de comunicații electronice mobile în etapa de elaborare a documentelor de concurs, luând în considerare lista drumurilor publice naționale pentru care au fost stabilite obligații de acoperire în condițiile de licență eliberate anterior;</w:t>
      </w:r>
    </w:p>
    <w:p w:rsidR="00346CE4" w:rsidRPr="00346CE4" w:rsidRDefault="00346CE4" w:rsidP="00346CE4">
      <w:pPr>
        <w:tabs>
          <w:tab w:val="left" w:pos="0"/>
          <w:tab w:val="left" w:pos="1134"/>
        </w:tabs>
        <w:outlineLvl w:val="0"/>
        <w:rPr>
          <w:sz w:val="24"/>
          <w:szCs w:val="24"/>
        </w:rPr>
      </w:pPr>
      <w:r w:rsidRPr="00346CE4">
        <w:rPr>
          <w:sz w:val="24"/>
          <w:szCs w:val="24"/>
        </w:rPr>
        <w:t>6) implementarea procedurilor simple și digitalizate de autorizare a lucrărilor de construire a infrastructurii celulare dense moderne, care ar prevedea eliberarea actelor permisive numai în cazul edificării noilor construcții capitale până în anul 2025;</w:t>
      </w:r>
    </w:p>
    <w:p w:rsidR="00346CE4" w:rsidRPr="00346CE4" w:rsidRDefault="00346CE4" w:rsidP="00346CE4">
      <w:pPr>
        <w:tabs>
          <w:tab w:val="left" w:pos="0"/>
          <w:tab w:val="left" w:pos="1134"/>
        </w:tabs>
        <w:outlineLvl w:val="0"/>
        <w:rPr>
          <w:sz w:val="24"/>
          <w:szCs w:val="24"/>
        </w:rPr>
      </w:pPr>
      <w:r w:rsidRPr="00346CE4">
        <w:rPr>
          <w:sz w:val="24"/>
          <w:szCs w:val="24"/>
        </w:rPr>
        <w:t>7) stabilirea limitelor pentru expunerea la câmpuri electromagnetice conforme cu recomandările moderne internaționale pe acest subiect;</w:t>
      </w:r>
    </w:p>
    <w:p w:rsidR="00346CE4" w:rsidRPr="00346CE4" w:rsidRDefault="00346CE4" w:rsidP="00346CE4">
      <w:pPr>
        <w:tabs>
          <w:tab w:val="left" w:pos="0"/>
          <w:tab w:val="left" w:pos="1134"/>
        </w:tabs>
        <w:outlineLvl w:val="0"/>
        <w:rPr>
          <w:sz w:val="24"/>
          <w:szCs w:val="24"/>
        </w:rPr>
      </w:pPr>
      <w:r w:rsidRPr="00346CE4">
        <w:rPr>
          <w:sz w:val="24"/>
          <w:szCs w:val="24"/>
        </w:rPr>
        <w:t xml:space="preserve">8) atragerea </w:t>
      </w:r>
      <w:proofErr w:type="spellStart"/>
      <w:r w:rsidRPr="00346CE4">
        <w:rPr>
          <w:sz w:val="24"/>
          <w:szCs w:val="24"/>
        </w:rPr>
        <w:t>investiţiilor</w:t>
      </w:r>
      <w:proofErr w:type="spellEnd"/>
      <w:r w:rsidRPr="00346CE4">
        <w:rPr>
          <w:sz w:val="24"/>
          <w:szCs w:val="24"/>
        </w:rPr>
        <w:t xml:space="preserve"> în infrastructura </w:t>
      </w:r>
      <w:proofErr w:type="spellStart"/>
      <w:r w:rsidRPr="00346CE4">
        <w:rPr>
          <w:sz w:val="24"/>
          <w:szCs w:val="24"/>
        </w:rPr>
        <w:t>naţională</w:t>
      </w:r>
      <w:proofErr w:type="spellEnd"/>
      <w:r w:rsidRPr="00346CE4">
        <w:rPr>
          <w:sz w:val="24"/>
          <w:szCs w:val="24"/>
        </w:rPr>
        <w:t xml:space="preserve"> de </w:t>
      </w:r>
      <w:proofErr w:type="spellStart"/>
      <w:r w:rsidRPr="00346CE4">
        <w:rPr>
          <w:sz w:val="24"/>
          <w:szCs w:val="24"/>
        </w:rPr>
        <w:t>comunicaţii</w:t>
      </w:r>
      <w:proofErr w:type="spellEnd"/>
      <w:r w:rsidRPr="00346CE4">
        <w:rPr>
          <w:sz w:val="24"/>
          <w:szCs w:val="24"/>
        </w:rPr>
        <w:t xml:space="preserve"> electronice mobile de cel puțin 2 miliarde de lei până în anul 2025.</w:t>
      </w:r>
    </w:p>
    <w:p w:rsidR="00346CE4" w:rsidRPr="00346CE4" w:rsidRDefault="00346CE4" w:rsidP="00346CE4">
      <w:pPr>
        <w:tabs>
          <w:tab w:val="left" w:pos="0"/>
          <w:tab w:val="left" w:pos="1134"/>
        </w:tabs>
        <w:outlineLvl w:val="0"/>
        <w:rPr>
          <w:sz w:val="24"/>
          <w:szCs w:val="24"/>
        </w:rPr>
      </w:pPr>
    </w:p>
    <w:p w:rsidR="00346CE4" w:rsidRPr="00346CE4" w:rsidRDefault="00346CE4" w:rsidP="00346CE4">
      <w:pPr>
        <w:ind w:firstLine="0"/>
        <w:jc w:val="center"/>
        <w:rPr>
          <w:b/>
          <w:sz w:val="24"/>
          <w:szCs w:val="24"/>
        </w:rPr>
      </w:pPr>
      <w:r w:rsidRPr="00346CE4">
        <w:rPr>
          <w:b/>
          <w:sz w:val="24"/>
          <w:szCs w:val="24"/>
        </w:rPr>
        <w:t>V. ESTIMAREA IMPACTULUI ŞI A COSTURILOR</w:t>
      </w:r>
      <w:r w:rsidRPr="00346CE4">
        <w:rPr>
          <w:b/>
          <w:sz w:val="24"/>
          <w:szCs w:val="24"/>
        </w:rPr>
        <w:br/>
      </w:r>
    </w:p>
    <w:p w:rsidR="00346CE4" w:rsidRPr="00346CE4" w:rsidRDefault="00346CE4" w:rsidP="00346CE4">
      <w:pPr>
        <w:tabs>
          <w:tab w:val="left" w:pos="0"/>
          <w:tab w:val="left" w:pos="709"/>
        </w:tabs>
        <w:rPr>
          <w:sz w:val="24"/>
          <w:szCs w:val="24"/>
        </w:rPr>
      </w:pPr>
      <w:r w:rsidRPr="00346CE4">
        <w:rPr>
          <w:b/>
          <w:sz w:val="24"/>
          <w:szCs w:val="24"/>
        </w:rPr>
        <w:t>16.</w:t>
      </w:r>
      <w:r w:rsidRPr="00346CE4">
        <w:rPr>
          <w:sz w:val="24"/>
          <w:szCs w:val="24"/>
        </w:rPr>
        <w:t xml:space="preserve"> Pentru estimarea impactului se vor utiliza tehnici specifice, dintre care analiza impactului economic </w:t>
      </w:r>
      <w:proofErr w:type="spellStart"/>
      <w:r w:rsidRPr="00346CE4">
        <w:rPr>
          <w:sz w:val="24"/>
          <w:szCs w:val="24"/>
        </w:rPr>
        <w:t>şi</w:t>
      </w:r>
      <w:proofErr w:type="spellEnd"/>
      <w:r w:rsidRPr="00346CE4">
        <w:rPr>
          <w:sz w:val="24"/>
          <w:szCs w:val="24"/>
        </w:rPr>
        <w:t xml:space="preserve"> analiza impactului social.</w:t>
      </w:r>
    </w:p>
    <w:p w:rsidR="00346CE4" w:rsidRPr="00346CE4" w:rsidRDefault="00346CE4" w:rsidP="00346CE4">
      <w:pPr>
        <w:tabs>
          <w:tab w:val="left" w:pos="0"/>
        </w:tabs>
        <w:rPr>
          <w:b/>
          <w:sz w:val="24"/>
          <w:szCs w:val="24"/>
        </w:rPr>
      </w:pPr>
      <w:r w:rsidRPr="00346CE4">
        <w:rPr>
          <w:b/>
          <w:sz w:val="24"/>
          <w:szCs w:val="24"/>
        </w:rPr>
        <w:t>1) Impactul economic presupune:</w:t>
      </w:r>
    </w:p>
    <w:p w:rsidR="00346CE4" w:rsidRPr="00346CE4" w:rsidRDefault="00346CE4" w:rsidP="00346CE4">
      <w:pPr>
        <w:pStyle w:val="Default"/>
        <w:ind w:firstLine="709"/>
        <w:jc w:val="both"/>
        <w:rPr>
          <w:rFonts w:ascii="Times New Roman" w:hAnsi="Times New Roman" w:cs="Times New Roman"/>
          <w:b/>
          <w:color w:val="auto"/>
          <w:lang w:val="ro-RO"/>
        </w:rPr>
      </w:pPr>
      <w:r w:rsidRPr="00346CE4">
        <w:rPr>
          <w:rFonts w:ascii="Times New Roman" w:hAnsi="Times New Roman" w:cs="Times New Roman"/>
          <w:color w:val="auto"/>
          <w:lang w:val="ro-RO"/>
        </w:rPr>
        <w:t xml:space="preserve">a) asigurarea cu resurse suficiente de spectru ce vor face posibilă implementarea sistemelor de comunicații mobile de generația a 5-a și, implicit, a aplicațiilor noi ce pot fi implementate în baza acesteia, ce posedă capacitatea de conectare a unui număr masiv de obiecte, latența scăzută și ultra-fiabilitatea sau a comunicațiilor mobile de bandă largă îmbunătățite. În acest context, contribuția 5G va consta atât în îmbunătățirea performanțelor internetului mobil, cât și în deschiderea de noi oportunități pentru deservirea </w:t>
      </w:r>
      <w:r w:rsidRPr="00346CE4">
        <w:rPr>
          <w:rStyle w:val="highlight"/>
          <w:rFonts w:ascii="Times New Roman" w:hAnsi="Times New Roman" w:cs="Times New Roman"/>
          <w:color w:val="auto"/>
          <w:lang w:val="ro-RO"/>
        </w:rPr>
        <w:t>industrii</w:t>
      </w:r>
      <w:r w:rsidRPr="00346CE4">
        <w:rPr>
          <w:rFonts w:ascii="Times New Roman" w:hAnsi="Times New Roman" w:cs="Times New Roman"/>
          <w:color w:val="auto"/>
          <w:lang w:val="ro-RO"/>
        </w:rPr>
        <w:t>lor conectate cu soluții eficiente din punctul de vedere al costurilor, al vitezei și al eficienței energetice. Beneficiile scontate de implementarea pe scară largă a rețelelor 5G sunt multiple și vor atinge practic toate ramurile economice: automobile, media, divertisment, locuințe inteligente, energie și utilități, transport public, agricultură, bănci, sănătate, educație, servicii de urgență etc.;</w:t>
      </w:r>
    </w:p>
    <w:p w:rsidR="00346CE4" w:rsidRPr="00346CE4" w:rsidRDefault="00346CE4" w:rsidP="00346CE4">
      <w:pPr>
        <w:tabs>
          <w:tab w:val="left" w:pos="0"/>
          <w:tab w:val="left" w:pos="1134"/>
        </w:tabs>
        <w:rPr>
          <w:sz w:val="24"/>
          <w:szCs w:val="24"/>
        </w:rPr>
      </w:pPr>
      <w:r w:rsidRPr="00346CE4">
        <w:rPr>
          <w:sz w:val="24"/>
          <w:szCs w:val="24"/>
        </w:rPr>
        <w:t xml:space="preserve">b) implementarea tehnologiilor </w:t>
      </w:r>
      <w:proofErr w:type="spellStart"/>
      <w:r w:rsidRPr="00346CE4">
        <w:rPr>
          <w:sz w:val="24"/>
          <w:szCs w:val="24"/>
        </w:rPr>
        <w:t>şi</w:t>
      </w:r>
      <w:proofErr w:type="spellEnd"/>
      <w:r w:rsidRPr="00346CE4">
        <w:rPr>
          <w:sz w:val="24"/>
          <w:szCs w:val="24"/>
        </w:rPr>
        <w:t xml:space="preserve"> serviciilor noi în bandă largă și sporirea capacităților rețelelor existente;</w:t>
      </w:r>
    </w:p>
    <w:p w:rsidR="00346CE4" w:rsidRPr="00346CE4" w:rsidRDefault="00346CE4" w:rsidP="00346CE4">
      <w:pPr>
        <w:tabs>
          <w:tab w:val="left" w:pos="0"/>
          <w:tab w:val="left" w:pos="1134"/>
        </w:tabs>
        <w:rPr>
          <w:sz w:val="24"/>
          <w:szCs w:val="24"/>
        </w:rPr>
      </w:pPr>
      <w:r w:rsidRPr="00346CE4">
        <w:rPr>
          <w:sz w:val="24"/>
          <w:szCs w:val="24"/>
        </w:rPr>
        <w:t xml:space="preserve">c) atragerea noilor </w:t>
      </w:r>
      <w:proofErr w:type="spellStart"/>
      <w:r w:rsidRPr="00346CE4">
        <w:rPr>
          <w:sz w:val="24"/>
          <w:szCs w:val="24"/>
        </w:rPr>
        <w:t>investiţii</w:t>
      </w:r>
      <w:proofErr w:type="spellEnd"/>
      <w:r w:rsidRPr="00346CE4">
        <w:rPr>
          <w:sz w:val="24"/>
          <w:szCs w:val="24"/>
        </w:rPr>
        <w:t xml:space="preserve"> în sectorul tehnologiei </w:t>
      </w:r>
      <w:proofErr w:type="spellStart"/>
      <w:r w:rsidRPr="00346CE4">
        <w:rPr>
          <w:sz w:val="24"/>
          <w:szCs w:val="24"/>
        </w:rPr>
        <w:t>informaţiei</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w:t>
      </w:r>
      <w:proofErr w:type="spellStart"/>
      <w:r w:rsidRPr="00346CE4">
        <w:rPr>
          <w:sz w:val="24"/>
          <w:szCs w:val="24"/>
        </w:rPr>
        <w:t>comunicaţiilor</w:t>
      </w:r>
      <w:proofErr w:type="spellEnd"/>
      <w:r w:rsidRPr="00346CE4">
        <w:rPr>
          <w:sz w:val="24"/>
          <w:szCs w:val="24"/>
        </w:rPr>
        <w:t xml:space="preserve"> al economiei </w:t>
      </w:r>
      <w:proofErr w:type="spellStart"/>
      <w:r w:rsidRPr="00346CE4">
        <w:rPr>
          <w:sz w:val="24"/>
          <w:szCs w:val="24"/>
        </w:rPr>
        <w:t>naţionale</w:t>
      </w:r>
      <w:proofErr w:type="spellEnd"/>
      <w:r w:rsidRPr="00346CE4">
        <w:rPr>
          <w:sz w:val="24"/>
          <w:szCs w:val="24"/>
        </w:rPr>
        <w:t>;</w:t>
      </w:r>
    </w:p>
    <w:p w:rsidR="00346CE4" w:rsidRPr="00346CE4" w:rsidRDefault="00346CE4" w:rsidP="00346CE4">
      <w:pPr>
        <w:tabs>
          <w:tab w:val="left" w:pos="0"/>
          <w:tab w:val="left" w:pos="1134"/>
        </w:tabs>
        <w:rPr>
          <w:sz w:val="24"/>
          <w:szCs w:val="24"/>
        </w:rPr>
      </w:pPr>
      <w:r w:rsidRPr="00346CE4">
        <w:rPr>
          <w:sz w:val="24"/>
          <w:szCs w:val="24"/>
        </w:rPr>
        <w:t xml:space="preserve">d) </w:t>
      </w:r>
      <w:proofErr w:type="spellStart"/>
      <w:r w:rsidRPr="00346CE4">
        <w:rPr>
          <w:sz w:val="24"/>
          <w:szCs w:val="24"/>
        </w:rPr>
        <w:t>creşterea</w:t>
      </w:r>
      <w:proofErr w:type="spellEnd"/>
      <w:r w:rsidRPr="00346CE4">
        <w:rPr>
          <w:sz w:val="24"/>
          <w:szCs w:val="24"/>
        </w:rPr>
        <w:t xml:space="preserve"> cifrei de afaceri a companiilor din acest sector;</w:t>
      </w:r>
    </w:p>
    <w:p w:rsidR="00346CE4" w:rsidRPr="00346CE4" w:rsidRDefault="00346CE4" w:rsidP="00346CE4">
      <w:pPr>
        <w:tabs>
          <w:tab w:val="left" w:pos="0"/>
          <w:tab w:val="left" w:pos="1134"/>
        </w:tabs>
        <w:rPr>
          <w:sz w:val="24"/>
          <w:szCs w:val="24"/>
        </w:rPr>
      </w:pPr>
      <w:r w:rsidRPr="00346CE4">
        <w:rPr>
          <w:sz w:val="24"/>
          <w:szCs w:val="24"/>
        </w:rPr>
        <w:lastRenderedPageBreak/>
        <w:t xml:space="preserve">e) </w:t>
      </w:r>
      <w:proofErr w:type="spellStart"/>
      <w:r w:rsidRPr="00346CE4">
        <w:rPr>
          <w:sz w:val="24"/>
          <w:szCs w:val="24"/>
        </w:rPr>
        <w:t>creşterea</w:t>
      </w:r>
      <w:proofErr w:type="spellEnd"/>
      <w:r w:rsidRPr="00346CE4">
        <w:rPr>
          <w:sz w:val="24"/>
          <w:szCs w:val="24"/>
        </w:rPr>
        <w:t xml:space="preserve"> acumulărilor la bugetul de stat generate de valorificarea resurselor de spectru radio </w:t>
      </w:r>
      <w:proofErr w:type="spellStart"/>
      <w:r w:rsidRPr="00346CE4">
        <w:rPr>
          <w:sz w:val="24"/>
          <w:szCs w:val="24"/>
        </w:rPr>
        <w:t>şi</w:t>
      </w:r>
      <w:proofErr w:type="spellEnd"/>
      <w:r w:rsidRPr="00346CE4">
        <w:rPr>
          <w:sz w:val="24"/>
          <w:szCs w:val="24"/>
        </w:rPr>
        <w:t xml:space="preserve"> de </w:t>
      </w:r>
      <w:proofErr w:type="spellStart"/>
      <w:r w:rsidRPr="00346CE4">
        <w:rPr>
          <w:sz w:val="24"/>
          <w:szCs w:val="24"/>
        </w:rPr>
        <w:t>activităţile</w:t>
      </w:r>
      <w:proofErr w:type="spellEnd"/>
      <w:r w:rsidRPr="00346CE4">
        <w:rPr>
          <w:sz w:val="24"/>
          <w:szCs w:val="24"/>
        </w:rPr>
        <w:t xml:space="preserve"> economice în </w:t>
      </w:r>
      <w:proofErr w:type="spellStart"/>
      <w:r w:rsidRPr="00346CE4">
        <w:rPr>
          <w:sz w:val="24"/>
          <w:szCs w:val="24"/>
        </w:rPr>
        <w:t>piaţa</w:t>
      </w:r>
      <w:proofErr w:type="spellEnd"/>
      <w:r w:rsidRPr="00346CE4">
        <w:rPr>
          <w:sz w:val="24"/>
          <w:szCs w:val="24"/>
        </w:rPr>
        <w:t xml:space="preserve"> serviciilor de </w:t>
      </w:r>
      <w:proofErr w:type="spellStart"/>
      <w:r w:rsidRPr="00346CE4">
        <w:rPr>
          <w:sz w:val="24"/>
          <w:szCs w:val="24"/>
        </w:rPr>
        <w:t>comunicaţii</w:t>
      </w:r>
      <w:proofErr w:type="spellEnd"/>
      <w:r w:rsidRPr="00346CE4">
        <w:rPr>
          <w:sz w:val="24"/>
          <w:szCs w:val="24"/>
        </w:rPr>
        <w:t xml:space="preserve"> electronice mobile;</w:t>
      </w:r>
    </w:p>
    <w:p w:rsidR="00346CE4" w:rsidRPr="00346CE4" w:rsidRDefault="00346CE4" w:rsidP="00346CE4">
      <w:pPr>
        <w:tabs>
          <w:tab w:val="left" w:pos="0"/>
          <w:tab w:val="left" w:pos="1134"/>
        </w:tabs>
        <w:rPr>
          <w:sz w:val="24"/>
          <w:szCs w:val="24"/>
        </w:rPr>
      </w:pPr>
      <w:r w:rsidRPr="00346CE4">
        <w:rPr>
          <w:sz w:val="24"/>
          <w:szCs w:val="24"/>
        </w:rPr>
        <w:t xml:space="preserve">f) dezvoltarea altor sectoare ale economiei </w:t>
      </w:r>
      <w:proofErr w:type="spellStart"/>
      <w:r w:rsidRPr="00346CE4">
        <w:rPr>
          <w:sz w:val="24"/>
          <w:szCs w:val="24"/>
        </w:rPr>
        <w:t>naţionale</w:t>
      </w:r>
      <w:proofErr w:type="spellEnd"/>
      <w:r w:rsidRPr="00346CE4">
        <w:rPr>
          <w:sz w:val="24"/>
          <w:szCs w:val="24"/>
        </w:rPr>
        <w:t xml:space="preserve"> ca urmare a modernizării;</w:t>
      </w:r>
    </w:p>
    <w:p w:rsidR="00346CE4" w:rsidRPr="00346CE4" w:rsidRDefault="00346CE4" w:rsidP="00346CE4">
      <w:pPr>
        <w:tabs>
          <w:tab w:val="left" w:pos="0"/>
          <w:tab w:val="left" w:pos="1134"/>
        </w:tabs>
        <w:rPr>
          <w:sz w:val="24"/>
          <w:szCs w:val="24"/>
        </w:rPr>
      </w:pPr>
      <w:r w:rsidRPr="00346CE4">
        <w:rPr>
          <w:sz w:val="24"/>
          <w:szCs w:val="24"/>
        </w:rPr>
        <w:t xml:space="preserve">g) </w:t>
      </w:r>
      <w:proofErr w:type="spellStart"/>
      <w:r w:rsidRPr="00346CE4">
        <w:rPr>
          <w:sz w:val="24"/>
          <w:szCs w:val="24"/>
        </w:rPr>
        <w:t>creşterea</w:t>
      </w:r>
      <w:proofErr w:type="spellEnd"/>
      <w:r w:rsidRPr="00346CE4">
        <w:rPr>
          <w:sz w:val="24"/>
          <w:szCs w:val="24"/>
        </w:rPr>
        <w:t xml:space="preserve"> nivelului de utilizare a serviciilor de acces la Internet în bandă largă, inclusiv a serviciilor publice, atât din partea statului, cât </w:t>
      </w:r>
      <w:proofErr w:type="spellStart"/>
      <w:r w:rsidRPr="00346CE4">
        <w:rPr>
          <w:sz w:val="24"/>
          <w:szCs w:val="24"/>
        </w:rPr>
        <w:t>şi</w:t>
      </w:r>
      <w:proofErr w:type="spellEnd"/>
      <w:r w:rsidRPr="00346CE4">
        <w:rPr>
          <w:sz w:val="24"/>
          <w:szCs w:val="24"/>
        </w:rPr>
        <w:t xml:space="preserve"> din partea mediului de afaceri </w:t>
      </w:r>
      <w:proofErr w:type="spellStart"/>
      <w:r w:rsidRPr="00346CE4">
        <w:rPr>
          <w:sz w:val="24"/>
          <w:szCs w:val="24"/>
        </w:rPr>
        <w:t>şi</w:t>
      </w:r>
      <w:proofErr w:type="spellEnd"/>
      <w:r w:rsidRPr="00346CE4">
        <w:rPr>
          <w:sz w:val="24"/>
          <w:szCs w:val="24"/>
        </w:rPr>
        <w:t xml:space="preserve"> a </w:t>
      </w:r>
      <w:proofErr w:type="spellStart"/>
      <w:r w:rsidRPr="00346CE4">
        <w:rPr>
          <w:sz w:val="24"/>
          <w:szCs w:val="24"/>
        </w:rPr>
        <w:t>populaţiei</w:t>
      </w:r>
      <w:proofErr w:type="spellEnd"/>
      <w:r w:rsidRPr="00346CE4">
        <w:rPr>
          <w:sz w:val="24"/>
          <w:szCs w:val="24"/>
        </w:rPr>
        <w:t>;</w:t>
      </w:r>
    </w:p>
    <w:p w:rsidR="00346CE4" w:rsidRPr="00346CE4" w:rsidRDefault="00346CE4" w:rsidP="00346CE4">
      <w:pPr>
        <w:tabs>
          <w:tab w:val="left" w:pos="0"/>
          <w:tab w:val="left" w:pos="1134"/>
        </w:tabs>
        <w:rPr>
          <w:sz w:val="24"/>
          <w:szCs w:val="24"/>
        </w:rPr>
      </w:pPr>
      <w:r w:rsidRPr="00346CE4">
        <w:rPr>
          <w:sz w:val="24"/>
          <w:szCs w:val="24"/>
        </w:rPr>
        <w:t xml:space="preserve">h) dezvoltarea continuă a infrastructurii de </w:t>
      </w:r>
      <w:proofErr w:type="spellStart"/>
      <w:r w:rsidRPr="00346CE4">
        <w:rPr>
          <w:sz w:val="24"/>
          <w:szCs w:val="24"/>
        </w:rPr>
        <w:t>radiocomunicaţii</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diversificarea ofertei de servicii de </w:t>
      </w:r>
      <w:proofErr w:type="spellStart"/>
      <w:r w:rsidRPr="00346CE4">
        <w:rPr>
          <w:sz w:val="24"/>
          <w:szCs w:val="24"/>
        </w:rPr>
        <w:t>comunicaţii</w:t>
      </w:r>
      <w:proofErr w:type="spellEnd"/>
      <w:r w:rsidRPr="00346CE4">
        <w:rPr>
          <w:sz w:val="24"/>
          <w:szCs w:val="24"/>
        </w:rPr>
        <w:t xml:space="preserve"> electronice mobile în bandă largă.</w:t>
      </w:r>
    </w:p>
    <w:p w:rsidR="00346CE4" w:rsidRPr="00346CE4" w:rsidRDefault="00346CE4" w:rsidP="00346CE4">
      <w:pPr>
        <w:tabs>
          <w:tab w:val="left" w:pos="0"/>
          <w:tab w:val="left" w:pos="1134"/>
        </w:tabs>
        <w:rPr>
          <w:sz w:val="24"/>
          <w:szCs w:val="24"/>
        </w:rPr>
      </w:pPr>
      <w:r w:rsidRPr="00346CE4">
        <w:rPr>
          <w:b/>
          <w:sz w:val="24"/>
          <w:szCs w:val="24"/>
        </w:rPr>
        <w:t>2)</w:t>
      </w:r>
      <w:r w:rsidRPr="00346CE4">
        <w:rPr>
          <w:sz w:val="24"/>
          <w:szCs w:val="24"/>
        </w:rPr>
        <w:t xml:space="preserve"> </w:t>
      </w:r>
      <w:r w:rsidRPr="00346CE4">
        <w:rPr>
          <w:b/>
          <w:sz w:val="24"/>
          <w:szCs w:val="24"/>
        </w:rPr>
        <w:t>Impactul social presupune:</w:t>
      </w:r>
    </w:p>
    <w:p w:rsidR="00346CE4" w:rsidRPr="00346CE4" w:rsidRDefault="00346CE4" w:rsidP="00346CE4">
      <w:pPr>
        <w:tabs>
          <w:tab w:val="left" w:pos="0"/>
        </w:tabs>
        <w:rPr>
          <w:sz w:val="24"/>
          <w:szCs w:val="24"/>
        </w:rPr>
      </w:pPr>
      <w:r w:rsidRPr="00346CE4">
        <w:rPr>
          <w:sz w:val="24"/>
          <w:szCs w:val="24"/>
        </w:rPr>
        <w:t xml:space="preserve">a) sporirea </w:t>
      </w:r>
      <w:proofErr w:type="spellStart"/>
      <w:r w:rsidRPr="00346CE4">
        <w:rPr>
          <w:sz w:val="24"/>
          <w:szCs w:val="24"/>
        </w:rPr>
        <w:t>accesibilităţii</w:t>
      </w:r>
      <w:proofErr w:type="spellEnd"/>
      <w:r w:rsidRPr="00346CE4">
        <w:rPr>
          <w:sz w:val="24"/>
          <w:szCs w:val="24"/>
        </w:rPr>
        <w:t xml:space="preserve"> pentru </w:t>
      </w:r>
      <w:proofErr w:type="spellStart"/>
      <w:r w:rsidRPr="00346CE4">
        <w:rPr>
          <w:sz w:val="24"/>
          <w:szCs w:val="24"/>
        </w:rPr>
        <w:t>populaţie</w:t>
      </w:r>
      <w:proofErr w:type="spellEnd"/>
      <w:r w:rsidRPr="00346CE4">
        <w:rPr>
          <w:sz w:val="24"/>
          <w:szCs w:val="24"/>
        </w:rPr>
        <w:t xml:space="preserve"> a serviciilor de </w:t>
      </w:r>
      <w:proofErr w:type="spellStart"/>
      <w:r w:rsidRPr="00346CE4">
        <w:rPr>
          <w:sz w:val="24"/>
          <w:szCs w:val="24"/>
        </w:rPr>
        <w:t>comunicaţii</w:t>
      </w:r>
      <w:proofErr w:type="spellEnd"/>
      <w:r w:rsidRPr="00346CE4">
        <w:rPr>
          <w:sz w:val="24"/>
          <w:szCs w:val="24"/>
        </w:rPr>
        <w:t xml:space="preserve"> electronice mobile în bandă largă ca rezultat al stabilirii unui mediu </w:t>
      </w:r>
      <w:proofErr w:type="spellStart"/>
      <w:r w:rsidRPr="00346CE4">
        <w:rPr>
          <w:sz w:val="24"/>
          <w:szCs w:val="24"/>
        </w:rPr>
        <w:t>concurenţial</w:t>
      </w:r>
      <w:proofErr w:type="spellEnd"/>
      <w:r w:rsidRPr="00346CE4">
        <w:rPr>
          <w:sz w:val="24"/>
          <w:szCs w:val="24"/>
        </w:rPr>
        <w:t xml:space="preserve"> loial </w:t>
      </w:r>
      <w:proofErr w:type="spellStart"/>
      <w:r w:rsidRPr="00346CE4">
        <w:rPr>
          <w:sz w:val="24"/>
          <w:szCs w:val="24"/>
        </w:rPr>
        <w:t>şi</w:t>
      </w:r>
      <w:proofErr w:type="spellEnd"/>
      <w:r w:rsidRPr="00346CE4">
        <w:rPr>
          <w:sz w:val="24"/>
          <w:szCs w:val="24"/>
        </w:rPr>
        <w:t xml:space="preserve"> eficient pe </w:t>
      </w:r>
      <w:proofErr w:type="spellStart"/>
      <w:r w:rsidRPr="00346CE4">
        <w:rPr>
          <w:sz w:val="24"/>
          <w:szCs w:val="24"/>
        </w:rPr>
        <w:t>piaţa</w:t>
      </w:r>
      <w:proofErr w:type="spellEnd"/>
      <w:r w:rsidRPr="00346CE4">
        <w:rPr>
          <w:sz w:val="24"/>
          <w:szCs w:val="24"/>
        </w:rPr>
        <w:t xml:space="preserve"> serviciilor de </w:t>
      </w:r>
      <w:proofErr w:type="spellStart"/>
      <w:r w:rsidRPr="00346CE4">
        <w:rPr>
          <w:sz w:val="24"/>
          <w:szCs w:val="24"/>
        </w:rPr>
        <w:t>comunicaţii</w:t>
      </w:r>
      <w:proofErr w:type="spellEnd"/>
      <w:r w:rsidRPr="00346CE4">
        <w:rPr>
          <w:sz w:val="24"/>
          <w:szCs w:val="24"/>
        </w:rPr>
        <w:t xml:space="preserve"> electronice mobile;</w:t>
      </w:r>
    </w:p>
    <w:p w:rsidR="00346CE4" w:rsidRPr="00346CE4" w:rsidRDefault="00346CE4" w:rsidP="00346CE4">
      <w:pPr>
        <w:tabs>
          <w:tab w:val="left" w:pos="0"/>
        </w:tabs>
        <w:rPr>
          <w:sz w:val="24"/>
          <w:szCs w:val="24"/>
        </w:rPr>
      </w:pPr>
      <w:r w:rsidRPr="00346CE4">
        <w:rPr>
          <w:sz w:val="24"/>
          <w:szCs w:val="24"/>
        </w:rPr>
        <w:t xml:space="preserve">b) </w:t>
      </w:r>
      <w:proofErr w:type="spellStart"/>
      <w:r w:rsidRPr="00346CE4">
        <w:rPr>
          <w:sz w:val="24"/>
          <w:szCs w:val="24"/>
        </w:rPr>
        <w:t>îmbunătăţirea</w:t>
      </w:r>
      <w:proofErr w:type="spellEnd"/>
      <w:r w:rsidRPr="00346CE4">
        <w:rPr>
          <w:sz w:val="24"/>
          <w:szCs w:val="24"/>
        </w:rPr>
        <w:t xml:space="preserve"> </w:t>
      </w:r>
      <w:proofErr w:type="spellStart"/>
      <w:r w:rsidRPr="00346CE4">
        <w:rPr>
          <w:sz w:val="24"/>
          <w:szCs w:val="24"/>
        </w:rPr>
        <w:t>calităţii</w:t>
      </w:r>
      <w:proofErr w:type="spellEnd"/>
      <w:r w:rsidRPr="00346CE4">
        <w:rPr>
          <w:sz w:val="24"/>
          <w:szCs w:val="24"/>
        </w:rPr>
        <w:t xml:space="preserve"> serviciilor furnizate, reducerea decalajului digital între mediul rural </w:t>
      </w:r>
      <w:proofErr w:type="spellStart"/>
      <w:r w:rsidRPr="00346CE4">
        <w:rPr>
          <w:sz w:val="24"/>
          <w:szCs w:val="24"/>
        </w:rPr>
        <w:t>şi</w:t>
      </w:r>
      <w:proofErr w:type="spellEnd"/>
      <w:r w:rsidRPr="00346CE4">
        <w:rPr>
          <w:sz w:val="24"/>
          <w:szCs w:val="24"/>
        </w:rPr>
        <w:t xml:space="preserve"> cel urban;</w:t>
      </w:r>
    </w:p>
    <w:p w:rsidR="00346CE4" w:rsidRPr="00346CE4" w:rsidRDefault="00346CE4" w:rsidP="00346CE4">
      <w:pPr>
        <w:tabs>
          <w:tab w:val="left" w:pos="0"/>
        </w:tabs>
        <w:rPr>
          <w:sz w:val="24"/>
          <w:szCs w:val="24"/>
        </w:rPr>
      </w:pPr>
      <w:r w:rsidRPr="00346CE4">
        <w:rPr>
          <w:sz w:val="24"/>
          <w:szCs w:val="24"/>
        </w:rPr>
        <w:t xml:space="preserve">c) crearea noilor locuri de muncă </w:t>
      </w:r>
      <w:proofErr w:type="spellStart"/>
      <w:r w:rsidRPr="00346CE4">
        <w:rPr>
          <w:sz w:val="24"/>
          <w:szCs w:val="24"/>
        </w:rPr>
        <w:t>şi</w:t>
      </w:r>
      <w:proofErr w:type="spellEnd"/>
      <w:r w:rsidRPr="00346CE4">
        <w:rPr>
          <w:sz w:val="24"/>
          <w:szCs w:val="24"/>
        </w:rPr>
        <w:t xml:space="preserve"> </w:t>
      </w:r>
      <w:proofErr w:type="spellStart"/>
      <w:r w:rsidRPr="00346CE4">
        <w:rPr>
          <w:sz w:val="24"/>
          <w:szCs w:val="24"/>
        </w:rPr>
        <w:t>creşterea</w:t>
      </w:r>
      <w:proofErr w:type="spellEnd"/>
      <w:r w:rsidRPr="00346CE4">
        <w:rPr>
          <w:sz w:val="24"/>
          <w:szCs w:val="24"/>
        </w:rPr>
        <w:t xml:space="preserve"> nivelului salariului mediu în sectorul tehnologiei </w:t>
      </w:r>
      <w:proofErr w:type="spellStart"/>
      <w:r w:rsidRPr="00346CE4">
        <w:rPr>
          <w:sz w:val="24"/>
          <w:szCs w:val="24"/>
        </w:rPr>
        <w:t>informaţiei</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w:t>
      </w:r>
      <w:proofErr w:type="spellStart"/>
      <w:r w:rsidRPr="00346CE4">
        <w:rPr>
          <w:sz w:val="24"/>
          <w:szCs w:val="24"/>
        </w:rPr>
        <w:t>comunicaţiilor</w:t>
      </w:r>
      <w:proofErr w:type="spellEnd"/>
      <w:r w:rsidRPr="00346CE4">
        <w:rPr>
          <w:sz w:val="24"/>
          <w:szCs w:val="24"/>
        </w:rPr>
        <w:t>.</w:t>
      </w:r>
    </w:p>
    <w:p w:rsidR="00346CE4" w:rsidRPr="00346CE4" w:rsidRDefault="00346CE4" w:rsidP="00346CE4">
      <w:pPr>
        <w:tabs>
          <w:tab w:val="left" w:pos="0"/>
        </w:tabs>
        <w:rPr>
          <w:sz w:val="24"/>
          <w:szCs w:val="24"/>
        </w:rPr>
      </w:pPr>
    </w:p>
    <w:p w:rsidR="00346CE4" w:rsidRPr="00346CE4" w:rsidRDefault="00346CE4" w:rsidP="00346CE4">
      <w:pPr>
        <w:tabs>
          <w:tab w:val="left" w:pos="0"/>
          <w:tab w:val="left" w:pos="1134"/>
        </w:tabs>
        <w:outlineLvl w:val="0"/>
        <w:rPr>
          <w:b/>
          <w:sz w:val="24"/>
          <w:szCs w:val="24"/>
        </w:rPr>
      </w:pPr>
      <w:r w:rsidRPr="00346CE4">
        <w:rPr>
          <w:b/>
          <w:sz w:val="24"/>
          <w:szCs w:val="24"/>
        </w:rPr>
        <w:t xml:space="preserve">17. Rezultatele scontate </w:t>
      </w:r>
      <w:proofErr w:type="spellStart"/>
      <w:r w:rsidRPr="00346CE4">
        <w:rPr>
          <w:b/>
          <w:sz w:val="24"/>
          <w:szCs w:val="24"/>
        </w:rPr>
        <w:t>şi</w:t>
      </w:r>
      <w:proofErr w:type="spellEnd"/>
      <w:r w:rsidRPr="00346CE4">
        <w:rPr>
          <w:b/>
          <w:sz w:val="24"/>
          <w:szCs w:val="24"/>
        </w:rPr>
        <w:t xml:space="preserve"> indicatorii de progres.</w:t>
      </w:r>
    </w:p>
    <w:p w:rsidR="00346CE4" w:rsidRPr="00346CE4" w:rsidRDefault="00346CE4" w:rsidP="00346CE4">
      <w:pPr>
        <w:tabs>
          <w:tab w:val="left" w:pos="0"/>
        </w:tabs>
        <w:rPr>
          <w:sz w:val="24"/>
          <w:szCs w:val="24"/>
        </w:rPr>
      </w:pPr>
      <w:r w:rsidRPr="00346CE4">
        <w:rPr>
          <w:sz w:val="24"/>
          <w:szCs w:val="24"/>
        </w:rPr>
        <w:t xml:space="preserve">1) Implementarea prezentului Program urmărește ca scop </w:t>
      </w:r>
      <w:proofErr w:type="spellStart"/>
      <w:r w:rsidRPr="00346CE4">
        <w:rPr>
          <w:sz w:val="24"/>
          <w:szCs w:val="24"/>
        </w:rPr>
        <w:t>obţinerea</w:t>
      </w:r>
      <w:proofErr w:type="spellEnd"/>
      <w:r w:rsidRPr="00346CE4">
        <w:rPr>
          <w:sz w:val="24"/>
          <w:szCs w:val="24"/>
        </w:rPr>
        <w:t xml:space="preserve"> următoarelor rezultate măsurabile prezentate în tabelul 2. Este necesar de menționat că valorile specificate în tabel nu sunt toate menite spre a fi direct transferabile în condițiile de licență ale furnizorilor. Mai degrabă acestea indică viziunea generală națională pentru dezvoltarea pieței de comunicații mobile de bandă largă în Republica Moldova și ține cont de faptul că utilizatorii iau decizia de a achiziționa serviciile mobile de acces în bandă largă în funcție de avantajele oferite de fiecare furnizor în parte și de condițiile de acoperire în zonele unde locuiesc sau își desfășoară activitatea. Totodată vor fi stabilite cerințele în condițiile de licență privind acoperirea zonelor populate și a teritoriului ținând cont de aceste deziderate.</w:t>
      </w:r>
    </w:p>
    <w:p w:rsidR="00346CE4" w:rsidRPr="00346CE4" w:rsidRDefault="00346CE4" w:rsidP="00346CE4">
      <w:pPr>
        <w:tabs>
          <w:tab w:val="left" w:pos="0"/>
        </w:tabs>
        <w:rPr>
          <w:sz w:val="24"/>
          <w:szCs w:val="24"/>
        </w:rPr>
      </w:pPr>
      <w:r w:rsidRPr="00346CE4">
        <w:rPr>
          <w:sz w:val="24"/>
          <w:szCs w:val="24"/>
        </w:rPr>
        <w:t>Totuși, având în vedere faptul că utilizatorii, de regulă, nu-și aleg furnizorul atunci când se deplasează pe drumurile naționale publice sau intenționează aceasta, asigurarea conectivității pe drumurile naționale rămâne a fi o cerință pentru toți furnizorii.</w:t>
      </w:r>
    </w:p>
    <w:p w:rsidR="00346CE4" w:rsidRPr="00346CE4" w:rsidRDefault="00346CE4" w:rsidP="00346CE4">
      <w:pPr>
        <w:tabs>
          <w:tab w:val="left" w:pos="0"/>
        </w:tabs>
        <w:rPr>
          <w:sz w:val="24"/>
          <w:szCs w:val="24"/>
        </w:rPr>
      </w:pPr>
      <w:r w:rsidRPr="00346CE4">
        <w:rPr>
          <w:sz w:val="24"/>
          <w:szCs w:val="24"/>
        </w:rPr>
        <w:t>2) Este important ca toate părțile vizate să întreprindă acțiunile necesare pentru atingerea acestor obiective prin cooperare și eforturi comune în domeniile lor de activitate, în timp ce Guvernul ar contribui, de asemenea, la punerea la dispoziție a spectrului și la crearea unor condiții favorabile pentru investiții pe piața comunicațiilor electronice.</w:t>
      </w:r>
      <w:r w:rsidRPr="00346CE4">
        <w:rPr>
          <w:b/>
          <w:sz w:val="24"/>
          <w:szCs w:val="24"/>
        </w:rPr>
        <w:br w:type="page"/>
      </w:r>
    </w:p>
    <w:p w:rsidR="00346CE4" w:rsidRPr="00346CE4" w:rsidRDefault="00346CE4" w:rsidP="00346CE4">
      <w:pPr>
        <w:tabs>
          <w:tab w:val="left" w:pos="1134"/>
        </w:tabs>
        <w:jc w:val="right"/>
        <w:rPr>
          <w:b/>
          <w:sz w:val="24"/>
          <w:szCs w:val="24"/>
        </w:rPr>
      </w:pPr>
      <w:r w:rsidRPr="00346CE4">
        <w:rPr>
          <w:b/>
          <w:sz w:val="24"/>
          <w:szCs w:val="24"/>
        </w:rPr>
        <w:lastRenderedPageBreak/>
        <w:t>Tabelul 2</w:t>
      </w:r>
    </w:p>
    <w:p w:rsidR="00346CE4" w:rsidRPr="00346CE4" w:rsidRDefault="00346CE4" w:rsidP="00346CE4">
      <w:pPr>
        <w:tabs>
          <w:tab w:val="left" w:pos="113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632"/>
        <w:gridCol w:w="2178"/>
        <w:gridCol w:w="2178"/>
      </w:tblGrid>
      <w:tr w:rsidR="00346CE4" w:rsidRPr="00346CE4" w:rsidTr="0068170A">
        <w:trPr>
          <w:trHeight w:val="902"/>
        </w:trPr>
        <w:tc>
          <w:tcPr>
            <w:tcW w:w="1717" w:type="pct"/>
            <w:vAlign w:val="center"/>
          </w:tcPr>
          <w:p w:rsidR="00346CE4" w:rsidRPr="00346CE4" w:rsidRDefault="00346CE4" w:rsidP="00346CE4">
            <w:pPr>
              <w:pStyle w:val="af9"/>
              <w:tabs>
                <w:tab w:val="left" w:pos="1134"/>
              </w:tabs>
              <w:suppressAutoHyphens w:val="0"/>
              <w:spacing w:after="0"/>
              <w:ind w:left="0"/>
              <w:jc w:val="center"/>
              <w:rPr>
                <w:b/>
                <w:sz w:val="24"/>
                <w:szCs w:val="24"/>
                <w:lang w:val="ro-RO"/>
              </w:rPr>
            </w:pPr>
            <w:r w:rsidRPr="00346CE4">
              <w:rPr>
                <w:b/>
                <w:sz w:val="24"/>
                <w:szCs w:val="24"/>
                <w:lang w:val="ro-RO"/>
              </w:rPr>
              <w:t>Indicator</w:t>
            </w:r>
          </w:p>
        </w:tc>
        <w:tc>
          <w:tcPr>
            <w:tcW w:w="895" w:type="pct"/>
            <w:vAlign w:val="center"/>
          </w:tcPr>
          <w:p w:rsidR="00346CE4" w:rsidRPr="00346CE4" w:rsidRDefault="00346CE4" w:rsidP="00346CE4">
            <w:pPr>
              <w:pStyle w:val="af9"/>
              <w:tabs>
                <w:tab w:val="left" w:pos="1134"/>
              </w:tabs>
              <w:suppressAutoHyphens w:val="0"/>
              <w:spacing w:after="0"/>
              <w:ind w:left="0"/>
              <w:jc w:val="center"/>
              <w:rPr>
                <w:b/>
                <w:sz w:val="24"/>
                <w:szCs w:val="24"/>
                <w:lang w:val="ro-RO"/>
              </w:rPr>
            </w:pPr>
            <w:r w:rsidRPr="00346CE4">
              <w:rPr>
                <w:b/>
                <w:sz w:val="24"/>
                <w:szCs w:val="24"/>
                <w:lang w:val="ro-RO"/>
              </w:rPr>
              <w:t>Nivelul indicatorului curent în 2020</w:t>
            </w:r>
          </w:p>
        </w:tc>
        <w:tc>
          <w:tcPr>
            <w:tcW w:w="1194" w:type="pct"/>
            <w:vAlign w:val="center"/>
          </w:tcPr>
          <w:p w:rsidR="00346CE4" w:rsidRPr="00346CE4" w:rsidRDefault="00346CE4" w:rsidP="00346CE4">
            <w:pPr>
              <w:pStyle w:val="af9"/>
              <w:tabs>
                <w:tab w:val="left" w:pos="1134"/>
              </w:tabs>
              <w:suppressAutoHyphens w:val="0"/>
              <w:spacing w:after="0"/>
              <w:ind w:left="0"/>
              <w:jc w:val="center"/>
              <w:rPr>
                <w:b/>
                <w:sz w:val="24"/>
                <w:szCs w:val="24"/>
                <w:lang w:val="ro-RO"/>
              </w:rPr>
            </w:pPr>
            <w:r w:rsidRPr="00346CE4">
              <w:rPr>
                <w:b/>
                <w:sz w:val="24"/>
                <w:szCs w:val="24"/>
                <w:lang w:val="ro-RO"/>
              </w:rPr>
              <w:t>Nivelul indicatorului preconizat pentru 2023</w:t>
            </w:r>
          </w:p>
        </w:tc>
        <w:tc>
          <w:tcPr>
            <w:tcW w:w="1194" w:type="pct"/>
            <w:vAlign w:val="center"/>
          </w:tcPr>
          <w:p w:rsidR="00346CE4" w:rsidRPr="00346CE4" w:rsidRDefault="00346CE4" w:rsidP="00346CE4">
            <w:pPr>
              <w:pStyle w:val="af9"/>
              <w:tabs>
                <w:tab w:val="left" w:pos="1134"/>
              </w:tabs>
              <w:suppressAutoHyphens w:val="0"/>
              <w:spacing w:after="0"/>
              <w:ind w:left="0"/>
              <w:jc w:val="center"/>
              <w:rPr>
                <w:b/>
                <w:sz w:val="24"/>
                <w:szCs w:val="24"/>
                <w:lang w:val="ro-RO"/>
              </w:rPr>
            </w:pPr>
            <w:r w:rsidRPr="00346CE4">
              <w:rPr>
                <w:b/>
                <w:sz w:val="24"/>
                <w:szCs w:val="24"/>
                <w:lang w:val="ro-RO"/>
              </w:rPr>
              <w:t>Nivelul indicatorului preconizat pentru 2025</w:t>
            </w:r>
          </w:p>
        </w:tc>
      </w:tr>
      <w:tr w:rsidR="00346CE4" w:rsidRPr="00346CE4" w:rsidTr="0068170A">
        <w:trPr>
          <w:trHeight w:val="844"/>
        </w:trPr>
        <w:tc>
          <w:tcPr>
            <w:tcW w:w="1717" w:type="pct"/>
            <w:vAlign w:val="center"/>
          </w:tcPr>
          <w:p w:rsidR="00346CE4" w:rsidRPr="00346CE4" w:rsidRDefault="00346CE4" w:rsidP="00346CE4">
            <w:pPr>
              <w:pStyle w:val="af9"/>
              <w:tabs>
                <w:tab w:val="left" w:pos="1134"/>
              </w:tabs>
              <w:suppressAutoHyphens w:val="0"/>
              <w:spacing w:after="0"/>
              <w:ind w:left="0"/>
              <w:rPr>
                <w:bCs/>
                <w:sz w:val="24"/>
                <w:szCs w:val="24"/>
                <w:lang w:val="ro-RO"/>
              </w:rPr>
            </w:pPr>
            <w:r w:rsidRPr="00346CE4">
              <w:rPr>
                <w:bCs/>
                <w:sz w:val="24"/>
                <w:szCs w:val="24"/>
                <w:lang w:val="ro-RO"/>
              </w:rPr>
              <w:t xml:space="preserve">Acoperirea cumulativă, de cel puțin un furnizor, cu semnal radio 4G și 5G a populației </w:t>
            </w:r>
          </w:p>
        </w:tc>
        <w:tc>
          <w:tcPr>
            <w:tcW w:w="895" w:type="pct"/>
            <w:vAlign w:val="center"/>
          </w:tcPr>
          <w:p w:rsidR="00346CE4" w:rsidRPr="00346CE4" w:rsidRDefault="00346CE4" w:rsidP="00346CE4">
            <w:pPr>
              <w:pStyle w:val="af9"/>
              <w:tabs>
                <w:tab w:val="left" w:pos="1134"/>
              </w:tabs>
              <w:suppressAutoHyphens w:val="0"/>
              <w:spacing w:after="0"/>
              <w:ind w:left="0"/>
              <w:jc w:val="center"/>
              <w:rPr>
                <w:sz w:val="24"/>
                <w:szCs w:val="24"/>
                <w:lang w:val="ro-RO"/>
              </w:rPr>
            </w:pPr>
            <w:r w:rsidRPr="00346CE4">
              <w:rPr>
                <w:sz w:val="24"/>
                <w:szCs w:val="24"/>
                <w:lang w:val="ro-RO"/>
              </w:rPr>
              <w:t>95%</w:t>
            </w:r>
          </w:p>
        </w:tc>
        <w:tc>
          <w:tcPr>
            <w:tcW w:w="1194" w:type="pct"/>
            <w:vAlign w:val="center"/>
          </w:tcPr>
          <w:p w:rsidR="00346CE4" w:rsidRPr="00346CE4" w:rsidRDefault="00346CE4" w:rsidP="00346CE4">
            <w:pPr>
              <w:pStyle w:val="af9"/>
              <w:tabs>
                <w:tab w:val="left" w:pos="1134"/>
              </w:tabs>
              <w:suppressAutoHyphens w:val="0"/>
              <w:spacing w:after="0"/>
              <w:ind w:left="0"/>
              <w:jc w:val="center"/>
              <w:rPr>
                <w:sz w:val="24"/>
                <w:szCs w:val="24"/>
                <w:lang w:val="ro-RO"/>
              </w:rPr>
            </w:pPr>
            <w:r w:rsidRPr="00346CE4">
              <w:rPr>
                <w:sz w:val="24"/>
                <w:szCs w:val="24"/>
                <w:lang w:val="ro-RO"/>
              </w:rPr>
              <w:t>96%</w:t>
            </w:r>
          </w:p>
        </w:tc>
        <w:tc>
          <w:tcPr>
            <w:tcW w:w="1194" w:type="pct"/>
            <w:vAlign w:val="center"/>
          </w:tcPr>
          <w:p w:rsidR="00346CE4" w:rsidRPr="00346CE4" w:rsidRDefault="00346CE4" w:rsidP="00346CE4">
            <w:pPr>
              <w:pStyle w:val="af9"/>
              <w:tabs>
                <w:tab w:val="left" w:pos="1134"/>
              </w:tabs>
              <w:suppressAutoHyphens w:val="0"/>
              <w:spacing w:after="0"/>
              <w:ind w:left="0"/>
              <w:jc w:val="center"/>
              <w:rPr>
                <w:sz w:val="24"/>
                <w:szCs w:val="24"/>
                <w:lang w:val="ro-RO"/>
              </w:rPr>
            </w:pPr>
            <w:r w:rsidRPr="00346CE4">
              <w:rPr>
                <w:sz w:val="24"/>
                <w:szCs w:val="24"/>
                <w:lang w:val="ro-RO"/>
              </w:rPr>
              <w:t>97%</w:t>
            </w:r>
          </w:p>
        </w:tc>
      </w:tr>
      <w:tr w:rsidR="00346CE4" w:rsidRPr="00346CE4" w:rsidTr="0068170A">
        <w:trPr>
          <w:trHeight w:val="581"/>
        </w:trPr>
        <w:tc>
          <w:tcPr>
            <w:tcW w:w="1717" w:type="pct"/>
            <w:vAlign w:val="center"/>
          </w:tcPr>
          <w:p w:rsidR="00346CE4" w:rsidRPr="00346CE4" w:rsidRDefault="00346CE4" w:rsidP="00346CE4">
            <w:pPr>
              <w:pStyle w:val="af9"/>
              <w:tabs>
                <w:tab w:val="left" w:pos="1134"/>
              </w:tabs>
              <w:suppressAutoHyphens w:val="0"/>
              <w:spacing w:after="0"/>
              <w:ind w:left="0"/>
              <w:rPr>
                <w:sz w:val="24"/>
                <w:szCs w:val="24"/>
                <w:lang w:val="ro-RO"/>
              </w:rPr>
            </w:pPr>
            <w:r w:rsidRPr="00346CE4">
              <w:rPr>
                <w:sz w:val="24"/>
                <w:szCs w:val="24"/>
                <w:lang w:val="ro-RO"/>
              </w:rPr>
              <w:t>Viteza medie de transfer de date a legăturii descendente în cel puțin o rețea de comunicații electronice mobile în bandă largă, dar care servește cel mai bine pentru fiecare furnizor mobil</w:t>
            </w:r>
          </w:p>
        </w:tc>
        <w:tc>
          <w:tcPr>
            <w:tcW w:w="895" w:type="pct"/>
            <w:vAlign w:val="center"/>
          </w:tcPr>
          <w:p w:rsidR="00346CE4" w:rsidRPr="00346CE4" w:rsidRDefault="00346CE4" w:rsidP="00346CE4">
            <w:pPr>
              <w:pStyle w:val="af9"/>
              <w:tabs>
                <w:tab w:val="left" w:pos="1134"/>
              </w:tabs>
              <w:suppressAutoHyphens w:val="0"/>
              <w:spacing w:after="0"/>
              <w:ind w:left="0"/>
              <w:jc w:val="center"/>
              <w:rPr>
                <w:sz w:val="24"/>
                <w:szCs w:val="24"/>
                <w:lang w:val="ro-RO"/>
              </w:rPr>
            </w:pPr>
            <w:r w:rsidRPr="00346CE4">
              <w:rPr>
                <w:sz w:val="24"/>
                <w:szCs w:val="24"/>
                <w:lang w:val="ro-RO"/>
              </w:rPr>
              <w:t>20 Mbps</w:t>
            </w:r>
          </w:p>
        </w:tc>
        <w:tc>
          <w:tcPr>
            <w:tcW w:w="1194" w:type="pct"/>
            <w:vAlign w:val="center"/>
          </w:tcPr>
          <w:p w:rsidR="00346CE4" w:rsidRPr="00346CE4" w:rsidRDefault="00346CE4" w:rsidP="00346CE4">
            <w:pPr>
              <w:pStyle w:val="af9"/>
              <w:tabs>
                <w:tab w:val="left" w:pos="1134"/>
              </w:tabs>
              <w:suppressAutoHyphens w:val="0"/>
              <w:spacing w:after="0"/>
              <w:ind w:left="0"/>
              <w:jc w:val="center"/>
              <w:rPr>
                <w:sz w:val="24"/>
                <w:szCs w:val="24"/>
                <w:lang w:val="ro-RO"/>
              </w:rPr>
            </w:pPr>
            <w:r w:rsidRPr="00346CE4">
              <w:rPr>
                <w:sz w:val="24"/>
                <w:szCs w:val="24"/>
                <w:lang w:val="ro-RO"/>
              </w:rPr>
              <w:t>30 Mbps</w:t>
            </w:r>
          </w:p>
        </w:tc>
        <w:tc>
          <w:tcPr>
            <w:tcW w:w="1194" w:type="pct"/>
            <w:vAlign w:val="center"/>
          </w:tcPr>
          <w:p w:rsidR="00346CE4" w:rsidRPr="00346CE4" w:rsidRDefault="00346CE4" w:rsidP="00346CE4">
            <w:pPr>
              <w:pStyle w:val="af9"/>
              <w:tabs>
                <w:tab w:val="left" w:pos="1134"/>
              </w:tabs>
              <w:suppressAutoHyphens w:val="0"/>
              <w:spacing w:after="0"/>
              <w:ind w:left="0"/>
              <w:jc w:val="center"/>
              <w:rPr>
                <w:sz w:val="24"/>
                <w:szCs w:val="24"/>
                <w:lang w:val="ro-RO"/>
              </w:rPr>
            </w:pPr>
            <w:r w:rsidRPr="00346CE4">
              <w:rPr>
                <w:sz w:val="24"/>
                <w:szCs w:val="24"/>
                <w:lang w:val="ro-RO"/>
              </w:rPr>
              <w:t>50 Mbps</w:t>
            </w:r>
          </w:p>
        </w:tc>
      </w:tr>
    </w:tbl>
    <w:p w:rsidR="00346CE4" w:rsidRPr="00346CE4" w:rsidRDefault="00346CE4" w:rsidP="00346CE4">
      <w:pPr>
        <w:pStyle w:val="af7"/>
        <w:tabs>
          <w:tab w:val="left" w:pos="0"/>
        </w:tabs>
        <w:spacing w:after="0"/>
        <w:ind w:firstLine="709"/>
        <w:jc w:val="both"/>
      </w:pPr>
    </w:p>
    <w:p w:rsidR="00346CE4" w:rsidRPr="00346CE4" w:rsidRDefault="00346CE4" w:rsidP="00346CE4">
      <w:pPr>
        <w:pStyle w:val="af7"/>
        <w:tabs>
          <w:tab w:val="left" w:pos="0"/>
        </w:tabs>
        <w:spacing w:after="0"/>
        <w:ind w:firstLine="709"/>
        <w:jc w:val="both"/>
      </w:pPr>
      <w:r w:rsidRPr="00346CE4">
        <w:rPr>
          <w:b/>
        </w:rPr>
        <w:t>18.</w:t>
      </w:r>
      <w:r w:rsidRPr="00346CE4">
        <w:t xml:space="preserve"> Rezultatele scontate în urma implementării prezentului Program vor fi estimate în conformitate cu principalii indicatori de progres privind realizarea obiectivelor stabilite:</w:t>
      </w:r>
    </w:p>
    <w:p w:rsidR="00346CE4" w:rsidRPr="00346CE4" w:rsidRDefault="00346CE4" w:rsidP="00346CE4">
      <w:pPr>
        <w:pStyle w:val="af7"/>
        <w:tabs>
          <w:tab w:val="left" w:pos="1134"/>
        </w:tabs>
        <w:spacing w:after="0"/>
        <w:ind w:firstLine="709"/>
        <w:jc w:val="both"/>
      </w:pPr>
      <w:r w:rsidRPr="00346CE4">
        <w:t xml:space="preserve">1) resurse de spectru radio disponibile în </w:t>
      </w:r>
      <w:proofErr w:type="spellStart"/>
      <w:r w:rsidRPr="00346CE4">
        <w:t>cantităţi</w:t>
      </w:r>
      <w:proofErr w:type="spellEnd"/>
      <w:r w:rsidRPr="00346CE4">
        <w:t xml:space="preserve"> capabile să satisfacă cererea de </w:t>
      </w:r>
      <w:proofErr w:type="spellStart"/>
      <w:r w:rsidRPr="00346CE4">
        <w:t>piaţă</w:t>
      </w:r>
      <w:proofErr w:type="spellEnd"/>
      <w:r w:rsidRPr="00346CE4">
        <w:t xml:space="preserve"> pe perioada de timp determinată de prezentul Program;</w:t>
      </w:r>
    </w:p>
    <w:p w:rsidR="00346CE4" w:rsidRPr="00346CE4" w:rsidRDefault="00346CE4" w:rsidP="00346CE4">
      <w:pPr>
        <w:tabs>
          <w:tab w:val="left" w:pos="851"/>
          <w:tab w:val="left" w:pos="1134"/>
        </w:tabs>
        <w:autoSpaceDE w:val="0"/>
        <w:rPr>
          <w:sz w:val="24"/>
          <w:szCs w:val="24"/>
        </w:rPr>
      </w:pPr>
      <w:r w:rsidRPr="00346CE4">
        <w:rPr>
          <w:sz w:val="24"/>
          <w:szCs w:val="24"/>
        </w:rPr>
        <w:t xml:space="preserve">2) previzibilitate a actului de reglementare </w:t>
      </w:r>
      <w:proofErr w:type="spellStart"/>
      <w:r w:rsidRPr="00346CE4">
        <w:rPr>
          <w:sz w:val="24"/>
          <w:szCs w:val="24"/>
        </w:rPr>
        <w:t>şi</w:t>
      </w:r>
      <w:proofErr w:type="spellEnd"/>
      <w:r w:rsidRPr="00346CE4">
        <w:rPr>
          <w:sz w:val="24"/>
          <w:szCs w:val="24"/>
        </w:rPr>
        <w:t xml:space="preserve"> certitudine în ceea ce </w:t>
      </w:r>
      <w:proofErr w:type="spellStart"/>
      <w:r w:rsidRPr="00346CE4">
        <w:rPr>
          <w:sz w:val="24"/>
          <w:szCs w:val="24"/>
        </w:rPr>
        <w:t>priveşte</w:t>
      </w:r>
      <w:proofErr w:type="spellEnd"/>
      <w:r w:rsidRPr="00346CE4">
        <w:rPr>
          <w:sz w:val="24"/>
          <w:szCs w:val="24"/>
        </w:rPr>
        <w:t xml:space="preserve"> regulile ce </w:t>
      </w:r>
      <w:proofErr w:type="spellStart"/>
      <w:r w:rsidRPr="00346CE4">
        <w:rPr>
          <w:sz w:val="24"/>
          <w:szCs w:val="24"/>
        </w:rPr>
        <w:t>acţionează</w:t>
      </w:r>
      <w:proofErr w:type="spellEnd"/>
      <w:r w:rsidRPr="00346CE4">
        <w:rPr>
          <w:sz w:val="24"/>
          <w:szCs w:val="24"/>
        </w:rPr>
        <w:t xml:space="preserve"> în procesul de gestionare a spectrului de </w:t>
      </w:r>
      <w:proofErr w:type="spellStart"/>
      <w:r w:rsidRPr="00346CE4">
        <w:rPr>
          <w:sz w:val="24"/>
          <w:szCs w:val="24"/>
        </w:rPr>
        <w:t>frecvenţe</w:t>
      </w:r>
      <w:proofErr w:type="spellEnd"/>
      <w:r w:rsidRPr="00346CE4">
        <w:rPr>
          <w:sz w:val="24"/>
          <w:szCs w:val="24"/>
        </w:rPr>
        <w:t xml:space="preserve"> radio;</w:t>
      </w:r>
    </w:p>
    <w:p w:rsidR="00346CE4" w:rsidRPr="00346CE4" w:rsidRDefault="00346CE4" w:rsidP="00346CE4">
      <w:pPr>
        <w:tabs>
          <w:tab w:val="left" w:pos="851"/>
          <w:tab w:val="left" w:pos="1134"/>
        </w:tabs>
        <w:autoSpaceDE w:val="0"/>
        <w:rPr>
          <w:sz w:val="24"/>
          <w:szCs w:val="24"/>
        </w:rPr>
      </w:pPr>
      <w:r w:rsidRPr="00346CE4">
        <w:rPr>
          <w:sz w:val="24"/>
          <w:szCs w:val="24"/>
        </w:rPr>
        <w:t xml:space="preserve">3) </w:t>
      </w:r>
      <w:proofErr w:type="spellStart"/>
      <w:r w:rsidRPr="00346CE4">
        <w:rPr>
          <w:sz w:val="24"/>
          <w:szCs w:val="24"/>
        </w:rPr>
        <w:t>investiţii</w:t>
      </w:r>
      <w:proofErr w:type="spellEnd"/>
      <w:r w:rsidRPr="00346CE4">
        <w:rPr>
          <w:sz w:val="24"/>
          <w:szCs w:val="24"/>
        </w:rPr>
        <w:t xml:space="preserve"> eficiente în infrastructura </w:t>
      </w:r>
      <w:proofErr w:type="spellStart"/>
      <w:r w:rsidRPr="00346CE4">
        <w:rPr>
          <w:sz w:val="24"/>
          <w:szCs w:val="24"/>
        </w:rPr>
        <w:t>naţională</w:t>
      </w:r>
      <w:proofErr w:type="spellEnd"/>
      <w:r w:rsidRPr="00346CE4">
        <w:rPr>
          <w:sz w:val="24"/>
          <w:szCs w:val="24"/>
        </w:rPr>
        <w:t xml:space="preserve"> de </w:t>
      </w:r>
      <w:proofErr w:type="spellStart"/>
      <w:r w:rsidRPr="00346CE4">
        <w:rPr>
          <w:sz w:val="24"/>
          <w:szCs w:val="24"/>
        </w:rPr>
        <w:t>radiocomunicaţii</w:t>
      </w:r>
      <w:proofErr w:type="spellEnd"/>
      <w:r w:rsidRPr="00346CE4">
        <w:rPr>
          <w:sz w:val="24"/>
          <w:szCs w:val="24"/>
        </w:rPr>
        <w:t>;</w:t>
      </w:r>
    </w:p>
    <w:p w:rsidR="00346CE4" w:rsidRPr="00346CE4" w:rsidRDefault="00346CE4" w:rsidP="00346CE4">
      <w:pPr>
        <w:tabs>
          <w:tab w:val="left" w:pos="851"/>
          <w:tab w:val="left" w:pos="1134"/>
        </w:tabs>
        <w:autoSpaceDE w:val="0"/>
        <w:rPr>
          <w:sz w:val="24"/>
          <w:szCs w:val="24"/>
        </w:rPr>
      </w:pPr>
      <w:r w:rsidRPr="00346CE4">
        <w:rPr>
          <w:sz w:val="24"/>
          <w:szCs w:val="24"/>
        </w:rPr>
        <w:t xml:space="preserve">4) neutralitate tehnologică </w:t>
      </w:r>
      <w:proofErr w:type="spellStart"/>
      <w:r w:rsidRPr="00346CE4">
        <w:rPr>
          <w:sz w:val="24"/>
          <w:szCs w:val="24"/>
        </w:rPr>
        <w:t>şi</w:t>
      </w:r>
      <w:proofErr w:type="spellEnd"/>
      <w:r w:rsidRPr="00346CE4">
        <w:rPr>
          <w:sz w:val="24"/>
          <w:szCs w:val="24"/>
        </w:rPr>
        <w:t xml:space="preserve"> accelerare a implementării tehnologiilor </w:t>
      </w:r>
      <w:proofErr w:type="spellStart"/>
      <w:r w:rsidRPr="00346CE4">
        <w:rPr>
          <w:sz w:val="24"/>
          <w:szCs w:val="24"/>
        </w:rPr>
        <w:t>şi</w:t>
      </w:r>
      <w:proofErr w:type="spellEnd"/>
      <w:r w:rsidRPr="00346CE4">
        <w:rPr>
          <w:sz w:val="24"/>
          <w:szCs w:val="24"/>
        </w:rPr>
        <w:t xml:space="preserve"> serviciilor noi;</w:t>
      </w:r>
    </w:p>
    <w:p w:rsidR="00346CE4" w:rsidRPr="00346CE4" w:rsidRDefault="00346CE4" w:rsidP="00346CE4">
      <w:pPr>
        <w:tabs>
          <w:tab w:val="left" w:pos="851"/>
          <w:tab w:val="left" w:pos="1134"/>
        </w:tabs>
        <w:autoSpaceDE w:val="0"/>
        <w:rPr>
          <w:sz w:val="24"/>
          <w:szCs w:val="24"/>
        </w:rPr>
      </w:pPr>
      <w:r w:rsidRPr="00346CE4">
        <w:rPr>
          <w:sz w:val="24"/>
          <w:szCs w:val="24"/>
        </w:rPr>
        <w:t xml:space="preserve">5) </w:t>
      </w:r>
      <w:proofErr w:type="spellStart"/>
      <w:r w:rsidRPr="00346CE4">
        <w:rPr>
          <w:sz w:val="24"/>
          <w:szCs w:val="24"/>
        </w:rPr>
        <w:t>concurenţă</w:t>
      </w:r>
      <w:proofErr w:type="spellEnd"/>
      <w:r w:rsidRPr="00346CE4">
        <w:rPr>
          <w:sz w:val="24"/>
          <w:szCs w:val="24"/>
        </w:rPr>
        <w:t xml:space="preserve"> eficientă pe </w:t>
      </w:r>
      <w:proofErr w:type="spellStart"/>
      <w:r w:rsidRPr="00346CE4">
        <w:rPr>
          <w:sz w:val="24"/>
          <w:szCs w:val="24"/>
        </w:rPr>
        <w:t>piaţa</w:t>
      </w:r>
      <w:proofErr w:type="spellEnd"/>
      <w:r w:rsidRPr="00346CE4">
        <w:rPr>
          <w:sz w:val="24"/>
          <w:szCs w:val="24"/>
        </w:rPr>
        <w:t xml:space="preserve"> serviciilor de </w:t>
      </w:r>
      <w:proofErr w:type="spellStart"/>
      <w:r w:rsidRPr="00346CE4">
        <w:rPr>
          <w:sz w:val="24"/>
          <w:szCs w:val="24"/>
        </w:rPr>
        <w:t>comunicaţii</w:t>
      </w:r>
      <w:proofErr w:type="spellEnd"/>
      <w:r w:rsidRPr="00346CE4">
        <w:rPr>
          <w:sz w:val="24"/>
          <w:szCs w:val="24"/>
        </w:rPr>
        <w:t xml:space="preserve"> electronice mobile în bandă largă;</w:t>
      </w:r>
    </w:p>
    <w:p w:rsidR="00346CE4" w:rsidRPr="00346CE4" w:rsidRDefault="00346CE4" w:rsidP="00346CE4">
      <w:pPr>
        <w:tabs>
          <w:tab w:val="left" w:pos="851"/>
          <w:tab w:val="left" w:pos="1134"/>
        </w:tabs>
        <w:autoSpaceDE w:val="0"/>
        <w:rPr>
          <w:sz w:val="24"/>
          <w:szCs w:val="24"/>
        </w:rPr>
      </w:pPr>
      <w:r w:rsidRPr="00346CE4">
        <w:rPr>
          <w:sz w:val="24"/>
          <w:szCs w:val="24"/>
        </w:rPr>
        <w:t>6) utilizare sporită a serviciilor de acces la Internet în bandă largă, inclusiv în zonele rurale;</w:t>
      </w:r>
    </w:p>
    <w:p w:rsidR="00346CE4" w:rsidRPr="00346CE4" w:rsidRDefault="00346CE4" w:rsidP="00346CE4">
      <w:pPr>
        <w:tabs>
          <w:tab w:val="left" w:pos="851"/>
          <w:tab w:val="left" w:pos="1134"/>
        </w:tabs>
        <w:autoSpaceDE w:val="0"/>
        <w:rPr>
          <w:sz w:val="24"/>
          <w:szCs w:val="24"/>
        </w:rPr>
      </w:pPr>
      <w:r w:rsidRPr="00346CE4">
        <w:rPr>
          <w:sz w:val="24"/>
          <w:szCs w:val="24"/>
        </w:rPr>
        <w:t xml:space="preserve">7) decalajul digital redus </w:t>
      </w:r>
      <w:proofErr w:type="spellStart"/>
      <w:r w:rsidRPr="00346CE4">
        <w:rPr>
          <w:sz w:val="24"/>
          <w:szCs w:val="24"/>
        </w:rPr>
        <w:t>substanţial</w:t>
      </w:r>
      <w:proofErr w:type="spellEnd"/>
      <w:r w:rsidRPr="00346CE4" w:rsidDel="00863CE3">
        <w:rPr>
          <w:sz w:val="24"/>
          <w:szCs w:val="24"/>
        </w:rPr>
        <w:t xml:space="preserve"> </w:t>
      </w:r>
      <w:r w:rsidRPr="00346CE4">
        <w:rPr>
          <w:sz w:val="24"/>
          <w:szCs w:val="24"/>
        </w:rPr>
        <w:t xml:space="preserve">dintre zonele urbane </w:t>
      </w:r>
      <w:proofErr w:type="spellStart"/>
      <w:r w:rsidRPr="00346CE4">
        <w:rPr>
          <w:sz w:val="24"/>
          <w:szCs w:val="24"/>
        </w:rPr>
        <w:t>şi</w:t>
      </w:r>
      <w:proofErr w:type="spellEnd"/>
      <w:r w:rsidRPr="00346CE4">
        <w:rPr>
          <w:sz w:val="24"/>
          <w:szCs w:val="24"/>
        </w:rPr>
        <w:t xml:space="preserve"> cele rurale.</w:t>
      </w:r>
    </w:p>
    <w:p w:rsidR="00346CE4" w:rsidRPr="00346CE4" w:rsidRDefault="00346CE4" w:rsidP="00346CE4">
      <w:pPr>
        <w:tabs>
          <w:tab w:val="left" w:pos="851"/>
          <w:tab w:val="left" w:pos="1134"/>
        </w:tabs>
        <w:autoSpaceDE w:val="0"/>
        <w:rPr>
          <w:sz w:val="24"/>
          <w:szCs w:val="24"/>
        </w:rPr>
      </w:pPr>
    </w:p>
    <w:p w:rsidR="00346CE4" w:rsidRPr="00346CE4" w:rsidRDefault="00346CE4" w:rsidP="00346CE4">
      <w:pPr>
        <w:tabs>
          <w:tab w:val="left" w:pos="0"/>
        </w:tabs>
        <w:rPr>
          <w:sz w:val="24"/>
          <w:szCs w:val="24"/>
        </w:rPr>
      </w:pPr>
      <w:r w:rsidRPr="00346CE4">
        <w:rPr>
          <w:b/>
          <w:sz w:val="24"/>
          <w:szCs w:val="24"/>
        </w:rPr>
        <w:t>19.</w:t>
      </w:r>
      <w:r w:rsidRPr="00346CE4">
        <w:rPr>
          <w:sz w:val="24"/>
          <w:szCs w:val="24"/>
        </w:rPr>
        <w:t xml:space="preserve"> Implementarea prevederilor prezentului Program nu presupune costuri adiționale pentru bugetul de stat. </w:t>
      </w:r>
      <w:proofErr w:type="spellStart"/>
      <w:r w:rsidRPr="00346CE4">
        <w:rPr>
          <w:sz w:val="24"/>
          <w:szCs w:val="24"/>
        </w:rPr>
        <w:t>Finanţarea</w:t>
      </w:r>
      <w:proofErr w:type="spellEnd"/>
      <w:r w:rsidRPr="00346CE4">
        <w:rPr>
          <w:sz w:val="24"/>
          <w:szCs w:val="24"/>
        </w:rPr>
        <w:t xml:space="preserve"> </w:t>
      </w:r>
      <w:proofErr w:type="spellStart"/>
      <w:r w:rsidRPr="00346CE4">
        <w:rPr>
          <w:sz w:val="24"/>
          <w:szCs w:val="24"/>
        </w:rPr>
        <w:t>acţiunilor</w:t>
      </w:r>
      <w:proofErr w:type="spellEnd"/>
      <w:r w:rsidRPr="00346CE4">
        <w:rPr>
          <w:sz w:val="24"/>
          <w:szCs w:val="24"/>
        </w:rPr>
        <w:t xml:space="preserve"> preconizate se va efectua în limita </w:t>
      </w:r>
      <w:proofErr w:type="spellStart"/>
      <w:r w:rsidRPr="00346CE4">
        <w:rPr>
          <w:sz w:val="24"/>
          <w:szCs w:val="24"/>
        </w:rPr>
        <w:t>alocaţiilor</w:t>
      </w:r>
      <w:proofErr w:type="spellEnd"/>
      <w:r w:rsidRPr="00346CE4">
        <w:rPr>
          <w:sz w:val="24"/>
          <w:szCs w:val="24"/>
        </w:rPr>
        <w:t xml:space="preserve"> aprobate pentru autoritățile publice centrale implicate, precum și din alte surse decât bugetul de stat.</w:t>
      </w:r>
    </w:p>
    <w:p w:rsidR="00346CE4" w:rsidRPr="00346CE4" w:rsidRDefault="00346CE4" w:rsidP="00346CE4">
      <w:pPr>
        <w:tabs>
          <w:tab w:val="left" w:pos="0"/>
          <w:tab w:val="left" w:pos="1134"/>
        </w:tabs>
        <w:outlineLvl w:val="0"/>
        <w:rPr>
          <w:sz w:val="24"/>
          <w:szCs w:val="24"/>
        </w:rPr>
      </w:pPr>
      <w:proofErr w:type="spellStart"/>
      <w:r w:rsidRPr="00346CE4">
        <w:rPr>
          <w:sz w:val="24"/>
          <w:szCs w:val="24"/>
        </w:rPr>
        <w:t>Finanţarea</w:t>
      </w:r>
      <w:proofErr w:type="spellEnd"/>
      <w:r w:rsidRPr="00346CE4">
        <w:rPr>
          <w:sz w:val="24"/>
          <w:szCs w:val="24"/>
        </w:rPr>
        <w:t xml:space="preserve"> </w:t>
      </w:r>
      <w:proofErr w:type="spellStart"/>
      <w:r w:rsidRPr="00346CE4">
        <w:rPr>
          <w:sz w:val="24"/>
          <w:szCs w:val="24"/>
        </w:rPr>
        <w:t>acţiunilor</w:t>
      </w:r>
      <w:proofErr w:type="spellEnd"/>
      <w:r w:rsidRPr="00346CE4">
        <w:rPr>
          <w:sz w:val="24"/>
          <w:szCs w:val="24"/>
        </w:rPr>
        <w:t xml:space="preserve"> prevăzute în Planul de </w:t>
      </w:r>
      <w:proofErr w:type="spellStart"/>
      <w:r w:rsidRPr="00346CE4">
        <w:rPr>
          <w:sz w:val="24"/>
          <w:szCs w:val="24"/>
        </w:rPr>
        <w:t>acţiuni</w:t>
      </w:r>
      <w:proofErr w:type="spellEnd"/>
      <w:r w:rsidRPr="00346CE4">
        <w:rPr>
          <w:sz w:val="24"/>
          <w:szCs w:val="24"/>
        </w:rPr>
        <w:t xml:space="preserve"> va fi în limitele bugetelor </w:t>
      </w:r>
      <w:proofErr w:type="spellStart"/>
      <w:r w:rsidRPr="00346CE4">
        <w:rPr>
          <w:sz w:val="24"/>
          <w:szCs w:val="24"/>
        </w:rPr>
        <w:t>instituţiilor</w:t>
      </w:r>
      <w:proofErr w:type="spellEnd"/>
      <w:r w:rsidRPr="00346CE4">
        <w:rPr>
          <w:sz w:val="24"/>
          <w:szCs w:val="24"/>
        </w:rPr>
        <w:t xml:space="preserve"> implicate în realizarea prezentului Program.</w:t>
      </w:r>
    </w:p>
    <w:p w:rsidR="00346CE4" w:rsidRPr="00346CE4" w:rsidRDefault="00346CE4" w:rsidP="00346CE4">
      <w:pPr>
        <w:tabs>
          <w:tab w:val="left" w:pos="0"/>
          <w:tab w:val="left" w:pos="1134"/>
        </w:tabs>
        <w:outlineLvl w:val="0"/>
        <w:rPr>
          <w:sz w:val="24"/>
          <w:szCs w:val="24"/>
        </w:rPr>
      </w:pPr>
    </w:p>
    <w:p w:rsidR="00346CE4" w:rsidRPr="00346CE4" w:rsidRDefault="00346CE4" w:rsidP="00346CE4">
      <w:pPr>
        <w:tabs>
          <w:tab w:val="left" w:pos="0"/>
        </w:tabs>
        <w:ind w:firstLine="0"/>
        <w:jc w:val="center"/>
        <w:outlineLvl w:val="0"/>
        <w:rPr>
          <w:b/>
          <w:sz w:val="24"/>
          <w:szCs w:val="24"/>
        </w:rPr>
      </w:pPr>
      <w:r w:rsidRPr="00346CE4">
        <w:rPr>
          <w:b/>
          <w:sz w:val="24"/>
          <w:szCs w:val="24"/>
        </w:rPr>
        <w:t>VI. RISCURI DE IMPLEMENTARE</w:t>
      </w:r>
    </w:p>
    <w:p w:rsidR="00346CE4" w:rsidRPr="00346CE4" w:rsidRDefault="00346CE4" w:rsidP="00346CE4">
      <w:pPr>
        <w:tabs>
          <w:tab w:val="left" w:pos="0"/>
        </w:tabs>
        <w:rPr>
          <w:b/>
          <w:sz w:val="24"/>
          <w:szCs w:val="24"/>
        </w:rPr>
      </w:pPr>
    </w:p>
    <w:p w:rsidR="00346CE4" w:rsidRPr="00346CE4" w:rsidRDefault="00346CE4" w:rsidP="00346CE4">
      <w:pPr>
        <w:tabs>
          <w:tab w:val="left" w:pos="0"/>
        </w:tabs>
        <w:rPr>
          <w:b/>
          <w:sz w:val="24"/>
          <w:szCs w:val="24"/>
        </w:rPr>
      </w:pPr>
      <w:r w:rsidRPr="00346CE4">
        <w:rPr>
          <w:b/>
          <w:sz w:val="24"/>
          <w:szCs w:val="24"/>
        </w:rPr>
        <w:t xml:space="preserve">20. Pericole </w:t>
      </w:r>
      <w:proofErr w:type="spellStart"/>
      <w:r w:rsidRPr="00346CE4">
        <w:rPr>
          <w:b/>
          <w:sz w:val="24"/>
          <w:szCs w:val="24"/>
        </w:rPr>
        <w:t>şi</w:t>
      </w:r>
      <w:proofErr w:type="spellEnd"/>
      <w:r w:rsidRPr="00346CE4">
        <w:rPr>
          <w:b/>
          <w:sz w:val="24"/>
          <w:szCs w:val="24"/>
        </w:rPr>
        <w:t xml:space="preserve"> riscuri anticipate</w:t>
      </w:r>
    </w:p>
    <w:p w:rsidR="00346CE4" w:rsidRPr="00346CE4" w:rsidRDefault="00346CE4" w:rsidP="00346CE4">
      <w:pPr>
        <w:tabs>
          <w:tab w:val="left" w:pos="0"/>
        </w:tabs>
        <w:rPr>
          <w:sz w:val="24"/>
          <w:szCs w:val="24"/>
        </w:rPr>
      </w:pPr>
      <w:r w:rsidRPr="00346CE4">
        <w:rPr>
          <w:sz w:val="24"/>
          <w:szCs w:val="24"/>
        </w:rPr>
        <w:t>1) În urma analizei situației curente și evoluțiile mondiale în acest domeniu, putem stabili unele riscuri relevante care pot duce la schimbarea beneficiilor urmărite prin implementarea prezentului Program și care pot impune constrângeri în valorificarea cu succes a resurselor de spectru de frecvențe radio și implementarea tehnologiilor noi în termenele stabilite: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evoluția demografică negativă în Republica Moldova;</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 xml:space="preserve">capacitatea scăzută de cumpărare și de absorbție a serviciilor noi a </w:t>
      </w:r>
      <w:proofErr w:type="spellStart"/>
      <w:r w:rsidRPr="00346CE4">
        <w:rPr>
          <w:sz w:val="24"/>
          <w:szCs w:val="24"/>
        </w:rPr>
        <w:t>populaţiei</w:t>
      </w:r>
      <w:proofErr w:type="spellEnd"/>
      <w:r w:rsidRPr="00346CE4">
        <w:rPr>
          <w:sz w:val="24"/>
          <w:szCs w:val="24"/>
        </w:rPr>
        <w:t>;</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ARPU (</w:t>
      </w:r>
      <w:proofErr w:type="spellStart"/>
      <w:r w:rsidRPr="00346CE4">
        <w:rPr>
          <w:sz w:val="24"/>
          <w:szCs w:val="24"/>
        </w:rPr>
        <w:t>Average</w:t>
      </w:r>
      <w:proofErr w:type="spellEnd"/>
      <w:r w:rsidRPr="00346CE4">
        <w:rPr>
          <w:sz w:val="24"/>
          <w:szCs w:val="24"/>
        </w:rPr>
        <w:t xml:space="preserve"> </w:t>
      </w:r>
      <w:proofErr w:type="spellStart"/>
      <w:r w:rsidRPr="00346CE4">
        <w:rPr>
          <w:sz w:val="24"/>
          <w:szCs w:val="24"/>
        </w:rPr>
        <w:t>Revenue</w:t>
      </w:r>
      <w:proofErr w:type="spellEnd"/>
      <w:r w:rsidRPr="00346CE4">
        <w:rPr>
          <w:sz w:val="24"/>
          <w:szCs w:val="24"/>
        </w:rPr>
        <w:t xml:space="preserve"> Per </w:t>
      </w:r>
      <w:proofErr w:type="spellStart"/>
      <w:r w:rsidRPr="00346CE4">
        <w:rPr>
          <w:sz w:val="24"/>
          <w:szCs w:val="24"/>
        </w:rPr>
        <w:t>User</w:t>
      </w:r>
      <w:proofErr w:type="spellEnd"/>
      <w:r w:rsidRPr="00346CE4">
        <w:rPr>
          <w:sz w:val="24"/>
          <w:szCs w:val="24"/>
        </w:rPr>
        <w:t xml:space="preserve"> – venitul mediu per utilizator) redus în sectorul de comunicații mobile în comparație cu alte state europene;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insuficiența infrastructurii în mediul rural poate menține discrepanțele mari dintre mediul urban și cel rural privind dezvoltarea sectorului de comunicații mobile;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lastRenderedPageBreak/>
        <w:t>neidentificarea resurselor financiare pentru dezvoltarea sectorului legate de necesitatea de investiții semnificative capitale și operaționale pentru implementarea rețelelor avansate de comunicații electronice;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 xml:space="preserve">lipsa unei noi abordări coordonate pentru promovarea investițiilor și </w:t>
      </w:r>
      <w:proofErr w:type="spellStart"/>
      <w:r w:rsidRPr="00346CE4">
        <w:rPr>
          <w:sz w:val="24"/>
          <w:szCs w:val="24"/>
        </w:rPr>
        <w:t>coinvestițiilor</w:t>
      </w:r>
      <w:proofErr w:type="spellEnd"/>
      <w:r w:rsidRPr="00346CE4">
        <w:rPr>
          <w:sz w:val="24"/>
          <w:szCs w:val="24"/>
        </w:rPr>
        <w:t xml:space="preserve"> în infrastructura de </w:t>
      </w:r>
      <w:proofErr w:type="spellStart"/>
      <w:r w:rsidRPr="00346CE4">
        <w:rPr>
          <w:sz w:val="24"/>
          <w:szCs w:val="24"/>
        </w:rPr>
        <w:t>radioacces</w:t>
      </w:r>
      <w:proofErr w:type="spellEnd"/>
      <w:r w:rsidRPr="00346CE4">
        <w:rPr>
          <w:sz w:val="24"/>
          <w:szCs w:val="24"/>
        </w:rPr>
        <w:t>, cea optică și de microunde, incluzând accesul îmbunătățit la alte rețele și operatori de utilități, care ar permite reducerea timpului și a costurilor în implementarea rețelei noi;</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 xml:space="preserve">posibile constrângeri în desfășurarea/implementarea rețelelor și tehnologiilor noi, în obținerea drepturilor de utilizare a infrastructurii fizice, </w:t>
      </w:r>
      <w:proofErr w:type="spellStart"/>
      <w:r w:rsidRPr="00346CE4">
        <w:rPr>
          <w:sz w:val="24"/>
          <w:szCs w:val="24"/>
        </w:rPr>
        <w:t>obţinerea</w:t>
      </w:r>
      <w:proofErr w:type="spellEnd"/>
      <w:r w:rsidRPr="00346CE4">
        <w:rPr>
          <w:sz w:val="24"/>
          <w:szCs w:val="24"/>
        </w:rPr>
        <w:t xml:space="preserve"> accesului pe </w:t>
      </w:r>
      <w:proofErr w:type="spellStart"/>
      <w:r w:rsidRPr="00346CE4">
        <w:rPr>
          <w:sz w:val="24"/>
          <w:szCs w:val="24"/>
        </w:rPr>
        <w:t>proprietăţi</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utilizării partajate a infrastructuri asociate </w:t>
      </w:r>
      <w:proofErr w:type="spellStart"/>
      <w:r w:rsidRPr="00346CE4">
        <w:rPr>
          <w:sz w:val="24"/>
          <w:szCs w:val="24"/>
        </w:rPr>
        <w:t>reţelelor</w:t>
      </w:r>
      <w:proofErr w:type="spellEnd"/>
      <w:r w:rsidRPr="00346CE4">
        <w:rPr>
          <w:sz w:val="24"/>
          <w:szCs w:val="24"/>
        </w:rPr>
        <w:t xml:space="preserve"> publice de </w:t>
      </w:r>
      <w:proofErr w:type="spellStart"/>
      <w:r w:rsidRPr="00346CE4">
        <w:rPr>
          <w:sz w:val="24"/>
          <w:szCs w:val="24"/>
        </w:rPr>
        <w:t>comunicaţii</w:t>
      </w:r>
      <w:proofErr w:type="spellEnd"/>
      <w:r w:rsidRPr="00346CE4">
        <w:rPr>
          <w:sz w:val="24"/>
          <w:szCs w:val="24"/>
        </w:rPr>
        <w:t xml:space="preserve"> electronice;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limitele existente de reglementare a expunerii la câmpuri electromagnetice pot fi prea restrictive pentru implementarea rețelelor moderne celulare dense;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riscuri aferente implementării unor tehnologii de generație nouă, inclusiv percepțiile privind riscurile de securitate, protecția datelor, radiații electromagnetice etc.;</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posibilă nesolicitare și nevalorificare a resurselor de spectru de frecvențe radio;</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riscuri de tergiversare a implementării tehnologiilor de generație nouă cauzate de eventuale crize sanitare și economice;</w:t>
      </w:r>
    </w:p>
    <w:p w:rsidR="00346CE4" w:rsidRPr="00346CE4" w:rsidRDefault="00346CE4" w:rsidP="00346CE4">
      <w:pPr>
        <w:numPr>
          <w:ilvl w:val="0"/>
          <w:numId w:val="11"/>
        </w:numPr>
        <w:tabs>
          <w:tab w:val="left" w:pos="0"/>
          <w:tab w:val="left" w:pos="1134"/>
        </w:tabs>
        <w:ind w:left="0" w:firstLine="709"/>
        <w:rPr>
          <w:sz w:val="24"/>
          <w:szCs w:val="24"/>
        </w:rPr>
      </w:pPr>
      <w:r w:rsidRPr="00346CE4">
        <w:rPr>
          <w:sz w:val="24"/>
          <w:szCs w:val="24"/>
        </w:rPr>
        <w:t>instabilitate politică.</w:t>
      </w:r>
    </w:p>
    <w:p w:rsidR="00346CE4" w:rsidRPr="00346CE4" w:rsidRDefault="00346CE4" w:rsidP="00346CE4">
      <w:pPr>
        <w:tabs>
          <w:tab w:val="left" w:pos="0"/>
          <w:tab w:val="left" w:pos="1134"/>
        </w:tabs>
        <w:ind w:firstLine="0"/>
        <w:rPr>
          <w:sz w:val="24"/>
          <w:szCs w:val="24"/>
        </w:rPr>
      </w:pPr>
    </w:p>
    <w:p w:rsidR="00346CE4" w:rsidRPr="00346CE4" w:rsidRDefault="00346CE4" w:rsidP="00346CE4">
      <w:pPr>
        <w:tabs>
          <w:tab w:val="left" w:pos="0"/>
        </w:tabs>
        <w:rPr>
          <w:b/>
          <w:sz w:val="24"/>
          <w:szCs w:val="24"/>
        </w:rPr>
      </w:pPr>
      <w:r w:rsidRPr="00346CE4">
        <w:rPr>
          <w:b/>
          <w:sz w:val="24"/>
          <w:szCs w:val="24"/>
        </w:rPr>
        <w:t>21.</w:t>
      </w:r>
      <w:r w:rsidRPr="00346CE4">
        <w:rPr>
          <w:sz w:val="24"/>
          <w:szCs w:val="24"/>
        </w:rPr>
        <w:t xml:space="preserve"> În urma analizei efectuate de către organul central de specialitate privind utilizarea benzilor de frecvențe radio în zonele de frontieră cu țările vecine (România </w:t>
      </w:r>
      <w:proofErr w:type="spellStart"/>
      <w:r w:rsidRPr="00346CE4">
        <w:rPr>
          <w:sz w:val="24"/>
          <w:szCs w:val="24"/>
        </w:rPr>
        <w:t>şi</w:t>
      </w:r>
      <w:proofErr w:type="spellEnd"/>
      <w:r w:rsidRPr="00346CE4">
        <w:rPr>
          <w:sz w:val="24"/>
          <w:szCs w:val="24"/>
        </w:rPr>
        <w:t xml:space="preserve"> Ucraina) și raioanele de est ale Republicii Moldova au fost depistate și evidențiate unele pericole </w:t>
      </w:r>
      <w:proofErr w:type="spellStart"/>
      <w:r w:rsidRPr="00346CE4">
        <w:rPr>
          <w:sz w:val="24"/>
          <w:szCs w:val="24"/>
        </w:rPr>
        <w:t>şi</w:t>
      </w:r>
      <w:proofErr w:type="spellEnd"/>
      <w:r w:rsidRPr="00346CE4">
        <w:rPr>
          <w:sz w:val="24"/>
          <w:szCs w:val="24"/>
        </w:rPr>
        <w:t xml:space="preserve"> riscuri tehnologice care pot condiționa stabilirea unor restricții și limitări posibile în aceste zone.</w:t>
      </w:r>
    </w:p>
    <w:p w:rsidR="00346CE4" w:rsidRPr="00346CE4" w:rsidRDefault="00346CE4" w:rsidP="00346CE4">
      <w:pPr>
        <w:tabs>
          <w:tab w:val="left" w:pos="0"/>
        </w:tabs>
        <w:rPr>
          <w:sz w:val="24"/>
          <w:szCs w:val="24"/>
        </w:rPr>
      </w:pPr>
      <w:r w:rsidRPr="00346CE4">
        <w:rPr>
          <w:b/>
          <w:bCs/>
          <w:sz w:val="24"/>
          <w:szCs w:val="24"/>
        </w:rPr>
        <w:t>1</w:t>
      </w:r>
      <w:r w:rsidRPr="00346CE4">
        <w:rPr>
          <w:b/>
          <w:sz w:val="24"/>
          <w:szCs w:val="24"/>
        </w:rPr>
        <w:t xml:space="preserve">) În banda de </w:t>
      </w:r>
      <w:proofErr w:type="spellStart"/>
      <w:r w:rsidRPr="00346CE4">
        <w:rPr>
          <w:b/>
          <w:sz w:val="24"/>
          <w:szCs w:val="24"/>
        </w:rPr>
        <w:t>frecvenţe</w:t>
      </w:r>
      <w:proofErr w:type="spellEnd"/>
      <w:r w:rsidRPr="00346CE4">
        <w:rPr>
          <w:b/>
          <w:sz w:val="24"/>
          <w:szCs w:val="24"/>
        </w:rPr>
        <w:t xml:space="preserve"> 700 MHz. </w:t>
      </w:r>
      <w:r w:rsidRPr="00346CE4">
        <w:rPr>
          <w:sz w:val="24"/>
          <w:szCs w:val="24"/>
        </w:rPr>
        <w:t>La momentul actual în raioanele de est ale Republicii Moldova și în Ucraina este atestată funcționarea stațiilor de televiziune digitală terestră în diapazonul respectiv.</w:t>
      </w:r>
    </w:p>
    <w:p w:rsidR="00346CE4" w:rsidRPr="00346CE4" w:rsidRDefault="00346CE4" w:rsidP="00346CE4">
      <w:pPr>
        <w:tabs>
          <w:tab w:val="left" w:pos="0"/>
        </w:tabs>
        <w:rPr>
          <w:sz w:val="24"/>
          <w:szCs w:val="24"/>
        </w:rPr>
      </w:pPr>
      <w:r w:rsidRPr="00346CE4">
        <w:rPr>
          <w:sz w:val="24"/>
          <w:szCs w:val="24"/>
        </w:rPr>
        <w:t>Interferențele pot surveni de la stațiile de televiziune digitală terestră din Ucraina (în total au fost identificate 18 stații învecinate ce prezintă riscuri de interferențe, în principal în diapazonul de frecvențe al canalelor de televiziune 50-53 și 60). De asemenea, în raioanele de est ale Republicii Moldova sunt în funcțiune stații de televiziune digitală terestră ce pot crea interferențe, în mod special fiind afectată legătura ascendentă.</w:t>
      </w:r>
    </w:p>
    <w:p w:rsidR="00346CE4" w:rsidRPr="00346CE4" w:rsidRDefault="00346CE4" w:rsidP="00346CE4">
      <w:pPr>
        <w:tabs>
          <w:tab w:val="left" w:pos="0"/>
        </w:tabs>
        <w:rPr>
          <w:sz w:val="24"/>
          <w:szCs w:val="24"/>
        </w:rPr>
      </w:pPr>
      <w:r w:rsidRPr="00346CE4">
        <w:rPr>
          <w:sz w:val="24"/>
          <w:szCs w:val="24"/>
        </w:rPr>
        <w:t>În timpul activităților Forumului de implementare a dividendelor digitale în regiunea Mării Negre, au fost identificate și agreate cu Centrul Ucrainean pentru Frecvențe Radio resursele de spectru necesare pentru eliberarea benzii 700 MHz și migrarea stațiilor de televiziune aflate în uz în Ucraina în diapazonul de frecvențe sub 700 MHz. Cu toate acestea, scoaterea treptată din funcțiune a acestor stații poate dura un anumit timp din cauza necesității identificării resurselor financiare de către autorități pentru compensarea cheltuielilor de relocare a difuzorilor de televiziune pentru eliberarea benzii de 700 MHz.</w:t>
      </w:r>
    </w:p>
    <w:p w:rsidR="00346CE4" w:rsidRPr="00346CE4" w:rsidRDefault="00346CE4" w:rsidP="00346CE4">
      <w:pPr>
        <w:tabs>
          <w:tab w:val="left" w:pos="0"/>
        </w:tabs>
        <w:rPr>
          <w:sz w:val="24"/>
          <w:szCs w:val="24"/>
        </w:rPr>
      </w:pPr>
      <w:r w:rsidRPr="00346CE4">
        <w:rPr>
          <w:sz w:val="24"/>
          <w:szCs w:val="24"/>
        </w:rPr>
        <w:t xml:space="preserve">Actualmente, autoritățile de reglementare a spectrului din Ucraina nu pot prezenta un termen exact de eliberare a benzii 700 MHz (conform Deciziei nr. 1272-r din 4 decembrie 2019 a Cabinetului de Miniștri al Ucrainei, banda de 700 MHz este destinată pentru comunicații în bandă largă mobilă, cu toate acestea, nu sunt indicate termene specifice de implementare), ceea ce creează o anumită incertitudine în privința termenelor de valorificare a benzii 700 MHz atât în Republica Moldova, cât și în statele învecinate din Uniunea Europeană: România, Ungaria, Polonia, care au angajamentul de a permite utilizarea benzii de frecvențe de 700 MHz pentru sistemele terestre capabile să furnizeze servicii de comunicații electronice pe suport radio în bandă largă cel târziu la data de 30 iunie </w:t>
      </w:r>
      <w:r w:rsidRPr="00346CE4">
        <w:rPr>
          <w:rStyle w:val="highlight"/>
          <w:sz w:val="24"/>
          <w:szCs w:val="24"/>
        </w:rPr>
        <w:t>2022</w:t>
      </w:r>
      <w:r w:rsidRPr="00346CE4">
        <w:rPr>
          <w:sz w:val="24"/>
          <w:szCs w:val="24"/>
        </w:rPr>
        <w:t>, în conformitate cu Decizia Parlamentului European și a Consiliului (UE) 2017/899.</w:t>
      </w:r>
    </w:p>
    <w:p w:rsidR="00346CE4" w:rsidRPr="00346CE4" w:rsidRDefault="00346CE4" w:rsidP="00346CE4">
      <w:pPr>
        <w:tabs>
          <w:tab w:val="left" w:pos="0"/>
        </w:tabs>
        <w:rPr>
          <w:sz w:val="24"/>
          <w:szCs w:val="24"/>
        </w:rPr>
      </w:pPr>
      <w:r w:rsidRPr="00346CE4">
        <w:rPr>
          <w:sz w:val="24"/>
          <w:szCs w:val="24"/>
        </w:rPr>
        <w:t>Funcționarea acestor stații constituie un risc pe termen scurt și mediu în privința asigurării compatibilității electromagnetice cu viitoarele rețele din cadrul serviciului mobil de bandă largă.</w:t>
      </w:r>
    </w:p>
    <w:p w:rsidR="00346CE4" w:rsidRPr="00346CE4" w:rsidRDefault="00346CE4" w:rsidP="00346CE4">
      <w:pPr>
        <w:tabs>
          <w:tab w:val="left" w:pos="0"/>
        </w:tabs>
        <w:rPr>
          <w:sz w:val="24"/>
          <w:szCs w:val="24"/>
        </w:rPr>
      </w:pPr>
      <w:r w:rsidRPr="00346CE4">
        <w:rPr>
          <w:sz w:val="24"/>
          <w:szCs w:val="24"/>
        </w:rPr>
        <w:lastRenderedPageBreak/>
        <w:t>Totodată, va fi necesară aplicarea unei limitări în privința acestei benzi, pentru protejarea rețelelor de radionavigație aeronautică din Ucraina până la momentul expirării termenului de funcționare a acestora sau în situația în care administrația Ucrainei va introduce modificări în vederea armonizării benzii de frecvențe respective în scopul implementării rețelelor de comunicații mobile celulare de bandă largă.</w:t>
      </w:r>
    </w:p>
    <w:p w:rsidR="00346CE4" w:rsidRPr="00346CE4" w:rsidRDefault="00346CE4" w:rsidP="00346CE4">
      <w:pPr>
        <w:tabs>
          <w:tab w:val="left" w:pos="0"/>
        </w:tabs>
        <w:rPr>
          <w:sz w:val="24"/>
          <w:szCs w:val="24"/>
        </w:rPr>
      </w:pPr>
      <w:r w:rsidRPr="00346CE4">
        <w:rPr>
          <w:sz w:val="24"/>
          <w:szCs w:val="24"/>
        </w:rPr>
        <w:t xml:space="preserve">Din partea hotarelor de vest pericole </w:t>
      </w:r>
      <w:proofErr w:type="spellStart"/>
      <w:r w:rsidRPr="00346CE4">
        <w:rPr>
          <w:sz w:val="24"/>
          <w:szCs w:val="24"/>
        </w:rPr>
        <w:t>şi</w:t>
      </w:r>
      <w:proofErr w:type="spellEnd"/>
      <w:r w:rsidRPr="00346CE4">
        <w:rPr>
          <w:sz w:val="24"/>
          <w:szCs w:val="24"/>
        </w:rPr>
        <w:t xml:space="preserve"> riscuri nu se prevăd, deoarece în conformitate cu Decizia sus-menționată banda de </w:t>
      </w:r>
      <w:proofErr w:type="spellStart"/>
      <w:r w:rsidRPr="00346CE4">
        <w:rPr>
          <w:sz w:val="24"/>
          <w:szCs w:val="24"/>
        </w:rPr>
        <w:t>frecvenţă</w:t>
      </w:r>
      <w:proofErr w:type="spellEnd"/>
      <w:r w:rsidRPr="00346CE4">
        <w:rPr>
          <w:sz w:val="24"/>
          <w:szCs w:val="24"/>
        </w:rPr>
        <w:t xml:space="preserve"> 694-790 MHz în Uniunea Europeană este preconizată pentru sistemele terestre capabile să furnizeze servicii de comunicații electronice pe suport radio în bandă largă.</w:t>
      </w:r>
    </w:p>
    <w:p w:rsidR="00346CE4" w:rsidRPr="00346CE4" w:rsidRDefault="00346CE4" w:rsidP="00346CE4">
      <w:pPr>
        <w:tabs>
          <w:tab w:val="left" w:pos="0"/>
        </w:tabs>
        <w:rPr>
          <w:sz w:val="24"/>
          <w:szCs w:val="24"/>
        </w:rPr>
      </w:pPr>
      <w:r w:rsidRPr="00346CE4">
        <w:rPr>
          <w:b/>
          <w:sz w:val="24"/>
          <w:szCs w:val="24"/>
        </w:rPr>
        <w:t xml:space="preserve">2) În banda de </w:t>
      </w:r>
      <w:proofErr w:type="spellStart"/>
      <w:r w:rsidRPr="00346CE4">
        <w:rPr>
          <w:b/>
          <w:sz w:val="24"/>
          <w:szCs w:val="24"/>
        </w:rPr>
        <w:t>frecvenţe</w:t>
      </w:r>
      <w:proofErr w:type="spellEnd"/>
      <w:r w:rsidRPr="00346CE4">
        <w:rPr>
          <w:b/>
          <w:sz w:val="24"/>
          <w:szCs w:val="24"/>
        </w:rPr>
        <w:t xml:space="preserve"> E900 MHz</w:t>
      </w:r>
      <w:r w:rsidRPr="00346CE4">
        <w:rPr>
          <w:sz w:val="24"/>
          <w:szCs w:val="24"/>
        </w:rPr>
        <w:t xml:space="preserve">. </w:t>
      </w:r>
      <w:proofErr w:type="spellStart"/>
      <w:r w:rsidRPr="00346CE4">
        <w:rPr>
          <w:sz w:val="24"/>
          <w:szCs w:val="24"/>
        </w:rPr>
        <w:t>Staţiile</w:t>
      </w:r>
      <w:proofErr w:type="spellEnd"/>
      <w:r w:rsidRPr="00346CE4">
        <w:rPr>
          <w:sz w:val="24"/>
          <w:szCs w:val="24"/>
        </w:rPr>
        <w:t xml:space="preserve"> de </w:t>
      </w:r>
      <w:proofErr w:type="spellStart"/>
      <w:r w:rsidRPr="00346CE4">
        <w:rPr>
          <w:sz w:val="24"/>
          <w:szCs w:val="24"/>
        </w:rPr>
        <w:t>radiocomunicaţii</w:t>
      </w:r>
      <w:proofErr w:type="spellEnd"/>
      <w:r w:rsidRPr="00346CE4">
        <w:rPr>
          <w:sz w:val="24"/>
          <w:szCs w:val="24"/>
        </w:rPr>
        <w:t xml:space="preserve"> din Republica Moldova care vor </w:t>
      </w:r>
      <w:proofErr w:type="spellStart"/>
      <w:r w:rsidRPr="00346CE4">
        <w:rPr>
          <w:sz w:val="24"/>
          <w:szCs w:val="24"/>
        </w:rPr>
        <w:t>funcţiona</w:t>
      </w:r>
      <w:proofErr w:type="spellEnd"/>
      <w:r w:rsidRPr="00346CE4">
        <w:rPr>
          <w:sz w:val="24"/>
          <w:szCs w:val="24"/>
        </w:rPr>
        <w:t xml:space="preserve"> în banda de </w:t>
      </w:r>
      <w:proofErr w:type="spellStart"/>
      <w:r w:rsidRPr="00346CE4">
        <w:rPr>
          <w:sz w:val="24"/>
          <w:szCs w:val="24"/>
        </w:rPr>
        <w:t>frecvenţe</w:t>
      </w:r>
      <w:proofErr w:type="spellEnd"/>
      <w:r w:rsidRPr="00346CE4">
        <w:rPr>
          <w:sz w:val="24"/>
          <w:szCs w:val="24"/>
        </w:rPr>
        <w:t xml:space="preserve"> 880-890 MHz pot fi afectate de către stațiile sistemului de </w:t>
      </w:r>
      <w:proofErr w:type="spellStart"/>
      <w:r w:rsidRPr="00346CE4">
        <w:rPr>
          <w:sz w:val="24"/>
          <w:szCs w:val="24"/>
        </w:rPr>
        <w:t>radiocomunicaţii</w:t>
      </w:r>
      <w:proofErr w:type="spellEnd"/>
      <w:r w:rsidRPr="00346CE4">
        <w:rPr>
          <w:sz w:val="24"/>
          <w:szCs w:val="24"/>
        </w:rPr>
        <w:t xml:space="preserve"> CDMA-2000 din raioanele de est ale Republicii Moldova.</w:t>
      </w:r>
    </w:p>
    <w:p w:rsidR="00346CE4" w:rsidRPr="00346CE4" w:rsidRDefault="00346CE4" w:rsidP="00346CE4">
      <w:pPr>
        <w:tabs>
          <w:tab w:val="left" w:pos="0"/>
        </w:tabs>
        <w:rPr>
          <w:sz w:val="24"/>
          <w:szCs w:val="24"/>
        </w:rPr>
      </w:pPr>
      <w:r w:rsidRPr="00346CE4">
        <w:rPr>
          <w:b/>
          <w:sz w:val="24"/>
          <w:szCs w:val="24"/>
        </w:rPr>
        <w:t xml:space="preserve">3) În banda de </w:t>
      </w:r>
      <w:proofErr w:type="spellStart"/>
      <w:r w:rsidRPr="00346CE4">
        <w:rPr>
          <w:b/>
          <w:sz w:val="24"/>
          <w:szCs w:val="24"/>
        </w:rPr>
        <w:t>frecvenţe</w:t>
      </w:r>
      <w:proofErr w:type="spellEnd"/>
      <w:r w:rsidRPr="00346CE4">
        <w:rPr>
          <w:b/>
          <w:sz w:val="24"/>
          <w:szCs w:val="24"/>
        </w:rPr>
        <w:t xml:space="preserve"> 1500 MHz</w:t>
      </w:r>
      <w:r w:rsidRPr="00346CE4">
        <w:rPr>
          <w:sz w:val="24"/>
          <w:szCs w:val="24"/>
        </w:rPr>
        <w:t xml:space="preserve"> pericole </w:t>
      </w:r>
      <w:proofErr w:type="spellStart"/>
      <w:r w:rsidRPr="00346CE4">
        <w:rPr>
          <w:sz w:val="24"/>
          <w:szCs w:val="24"/>
        </w:rPr>
        <w:t>şi</w:t>
      </w:r>
      <w:proofErr w:type="spellEnd"/>
      <w:r w:rsidRPr="00346CE4">
        <w:rPr>
          <w:sz w:val="24"/>
          <w:szCs w:val="24"/>
        </w:rPr>
        <w:t xml:space="preserve"> riscuri din partea sistemelor de </w:t>
      </w:r>
      <w:proofErr w:type="spellStart"/>
      <w:r w:rsidRPr="00346CE4">
        <w:rPr>
          <w:sz w:val="24"/>
          <w:szCs w:val="24"/>
        </w:rPr>
        <w:t>radiocomunicaţii</w:t>
      </w:r>
      <w:proofErr w:type="spellEnd"/>
      <w:r w:rsidRPr="00346CE4">
        <w:rPr>
          <w:sz w:val="24"/>
          <w:szCs w:val="24"/>
        </w:rPr>
        <w:t xml:space="preserve"> din România </w:t>
      </w:r>
      <w:proofErr w:type="spellStart"/>
      <w:r w:rsidRPr="00346CE4">
        <w:rPr>
          <w:sz w:val="24"/>
          <w:szCs w:val="24"/>
        </w:rPr>
        <w:t>şi</w:t>
      </w:r>
      <w:proofErr w:type="spellEnd"/>
      <w:r w:rsidRPr="00346CE4">
        <w:rPr>
          <w:sz w:val="24"/>
          <w:szCs w:val="24"/>
        </w:rPr>
        <w:t xml:space="preserve"> Ucraina nu se prevăd. Totodată, va fi necesară aplicarea unei limitări în privința nivelului câmpului electromagnetic la hotar cu Ucraina în cadrul acestei benzi, pentru protejarea rețelelor de telemetrie din Ucraina până la momentul expirării termenului de funcționare a acestora sau în situația în care administrația Ucrainei va introduce modificări în vederea armonizării benzii de frecvențe respective în scopul implementării sistemelor terestre capabile să furnizeze servicii de comunicații electronice pe suport radio în bandă largă.</w:t>
      </w:r>
    </w:p>
    <w:p w:rsidR="00346CE4" w:rsidRPr="00346CE4" w:rsidRDefault="00346CE4" w:rsidP="00346CE4">
      <w:pPr>
        <w:tabs>
          <w:tab w:val="left" w:pos="0"/>
        </w:tabs>
        <w:rPr>
          <w:sz w:val="24"/>
          <w:szCs w:val="24"/>
        </w:rPr>
      </w:pPr>
      <w:r w:rsidRPr="00346CE4">
        <w:rPr>
          <w:b/>
          <w:sz w:val="24"/>
          <w:szCs w:val="24"/>
        </w:rPr>
        <w:t>4)</w:t>
      </w:r>
      <w:r w:rsidRPr="00346CE4">
        <w:rPr>
          <w:sz w:val="24"/>
          <w:szCs w:val="24"/>
        </w:rPr>
        <w:t xml:space="preserve"> </w:t>
      </w:r>
      <w:r w:rsidRPr="00346CE4">
        <w:rPr>
          <w:b/>
          <w:sz w:val="24"/>
          <w:szCs w:val="24"/>
        </w:rPr>
        <w:t>În banda de frecvență 2300 MHz</w:t>
      </w:r>
      <w:r w:rsidRPr="00346CE4">
        <w:rPr>
          <w:sz w:val="24"/>
          <w:szCs w:val="24"/>
        </w:rPr>
        <w:t xml:space="preserve"> pericole </w:t>
      </w:r>
      <w:proofErr w:type="spellStart"/>
      <w:r w:rsidRPr="00346CE4">
        <w:rPr>
          <w:sz w:val="24"/>
          <w:szCs w:val="24"/>
        </w:rPr>
        <w:t>şi</w:t>
      </w:r>
      <w:proofErr w:type="spellEnd"/>
      <w:r w:rsidRPr="00346CE4">
        <w:rPr>
          <w:sz w:val="24"/>
          <w:szCs w:val="24"/>
        </w:rPr>
        <w:t xml:space="preserve"> riscuri din partea sistemelor de </w:t>
      </w:r>
      <w:proofErr w:type="spellStart"/>
      <w:r w:rsidRPr="00346CE4">
        <w:rPr>
          <w:sz w:val="24"/>
          <w:szCs w:val="24"/>
        </w:rPr>
        <w:t>radiocomunicaţii</w:t>
      </w:r>
      <w:proofErr w:type="spellEnd"/>
      <w:r w:rsidRPr="00346CE4">
        <w:rPr>
          <w:sz w:val="24"/>
          <w:szCs w:val="24"/>
        </w:rPr>
        <w:t xml:space="preserve"> din România </w:t>
      </w:r>
      <w:proofErr w:type="spellStart"/>
      <w:r w:rsidRPr="00346CE4">
        <w:rPr>
          <w:sz w:val="24"/>
          <w:szCs w:val="24"/>
        </w:rPr>
        <w:t>şi</w:t>
      </w:r>
      <w:proofErr w:type="spellEnd"/>
      <w:r w:rsidRPr="00346CE4">
        <w:rPr>
          <w:sz w:val="24"/>
          <w:szCs w:val="24"/>
        </w:rPr>
        <w:t xml:space="preserve"> Ucraina nu se prevăd. Totodată, este necesar să se identifice, în colaborare cu administrația țărilor vecine eventualele sistemele non-MFCN care operează în banda 2300-2400 MHz pentru care, după caz, va fi nevoie de inițierea procesului de coordonare. În plus, este necesar să se stabilească în ce </w:t>
      </w:r>
      <w:proofErr w:type="spellStart"/>
      <w:r w:rsidRPr="00346CE4">
        <w:rPr>
          <w:sz w:val="24"/>
          <w:szCs w:val="24"/>
        </w:rPr>
        <w:t>subbenzi</w:t>
      </w:r>
      <w:proofErr w:type="spellEnd"/>
      <w:r w:rsidRPr="00346CE4">
        <w:rPr>
          <w:sz w:val="24"/>
          <w:szCs w:val="24"/>
        </w:rPr>
        <w:t xml:space="preserve"> din banda 2300-2400 MHz sistemele identificate sunt utilizate și să se efectueze studii de la caz la caz pentru a defini condițiile de coordonare a frecvențelor. După caz, poate fi necesar un acord de coordonare bilateral/multilateral, așa cum stipulează Recomandarea ECC/REC/(14)04.</w:t>
      </w:r>
    </w:p>
    <w:p w:rsidR="00346CE4" w:rsidRPr="00346CE4" w:rsidRDefault="00346CE4" w:rsidP="00346CE4">
      <w:pPr>
        <w:tabs>
          <w:tab w:val="left" w:pos="0"/>
        </w:tabs>
        <w:rPr>
          <w:sz w:val="24"/>
          <w:szCs w:val="24"/>
        </w:rPr>
      </w:pPr>
      <w:r w:rsidRPr="00346CE4">
        <w:rPr>
          <w:b/>
          <w:sz w:val="24"/>
          <w:szCs w:val="24"/>
        </w:rPr>
        <w:t xml:space="preserve">5) În banda de </w:t>
      </w:r>
      <w:proofErr w:type="spellStart"/>
      <w:r w:rsidRPr="00346CE4">
        <w:rPr>
          <w:b/>
          <w:sz w:val="24"/>
          <w:szCs w:val="24"/>
        </w:rPr>
        <w:t>frecvenţe</w:t>
      </w:r>
      <w:proofErr w:type="spellEnd"/>
      <w:r w:rsidRPr="00346CE4">
        <w:rPr>
          <w:b/>
          <w:sz w:val="24"/>
          <w:szCs w:val="24"/>
        </w:rPr>
        <w:t xml:space="preserve"> 3600 MHz.</w:t>
      </w:r>
      <w:r w:rsidRPr="00346CE4">
        <w:rPr>
          <w:sz w:val="24"/>
          <w:szCs w:val="24"/>
        </w:rPr>
        <w:t xml:space="preserve"> În scopul excluderii limitării posibilităților desfășurării rețelelor în zonele de hotar ale Republicii Moldova</w:t>
      </w:r>
      <w:r w:rsidRPr="00346CE4">
        <w:rPr>
          <w:bCs/>
          <w:sz w:val="24"/>
          <w:szCs w:val="24"/>
        </w:rPr>
        <w:t xml:space="preserve">, prezintă interes examinarea posibilității unei abordări comune privind chestiunea utilizării sincronizate ale rețelelor TDD ale </w:t>
      </w:r>
      <w:r w:rsidRPr="00346CE4">
        <w:rPr>
          <w:sz w:val="24"/>
          <w:szCs w:val="24"/>
        </w:rPr>
        <w:t xml:space="preserve">furnizorilor </w:t>
      </w:r>
      <w:r w:rsidRPr="00346CE4">
        <w:rPr>
          <w:bCs/>
          <w:sz w:val="24"/>
          <w:szCs w:val="24"/>
        </w:rPr>
        <w:t xml:space="preserve">din Republica Moldova cu rețelele similare din țările limitrofe. </w:t>
      </w:r>
      <w:r w:rsidRPr="00346CE4">
        <w:rPr>
          <w:sz w:val="24"/>
          <w:szCs w:val="24"/>
        </w:rPr>
        <w:t>Recomandarea ECC/REC(20)03: ,,Structurile de cadru pentru a facilita coordonarea transfrontalieră a TDD MFCN în banda de frecvență 3400-3800 MHz” poate servi drept bază pentru viitoarele acorduri bilaterale internaționale, inclusiv aranjamente între furnizori, precum și drept bază pentru cadrul național de reglementare tehnică privind sincronizarea TDD internă în această bandă.</w:t>
      </w:r>
    </w:p>
    <w:p w:rsidR="00346CE4" w:rsidRPr="00346CE4" w:rsidRDefault="00346CE4" w:rsidP="00346CE4">
      <w:pPr>
        <w:tabs>
          <w:tab w:val="left" w:pos="0"/>
        </w:tabs>
        <w:rPr>
          <w:sz w:val="24"/>
          <w:szCs w:val="24"/>
        </w:rPr>
      </w:pPr>
      <w:r w:rsidRPr="00346CE4">
        <w:rPr>
          <w:bCs/>
          <w:sz w:val="24"/>
          <w:szCs w:val="24"/>
        </w:rPr>
        <w:t xml:space="preserve">Având în vedere activitățile de armonizare a utilizării acestor resurse de spectru pentru implementarea rețelelor de comunicații mobile de bandă largă în conformitate cu prevederile Deciziei ECC/DEC(15)01 în cadrul statelor Parteneriatului estic, nu se prevăd </w:t>
      </w:r>
      <w:r w:rsidRPr="00346CE4">
        <w:rPr>
          <w:sz w:val="24"/>
          <w:szCs w:val="24"/>
        </w:rPr>
        <w:t xml:space="preserve">riscuri din partea sistemelor de </w:t>
      </w:r>
      <w:proofErr w:type="spellStart"/>
      <w:r w:rsidRPr="00346CE4">
        <w:rPr>
          <w:sz w:val="24"/>
          <w:szCs w:val="24"/>
        </w:rPr>
        <w:t>radiocomunicaţii</w:t>
      </w:r>
      <w:proofErr w:type="spellEnd"/>
      <w:r w:rsidRPr="00346CE4">
        <w:rPr>
          <w:sz w:val="24"/>
          <w:szCs w:val="24"/>
        </w:rPr>
        <w:t xml:space="preserve"> din România </w:t>
      </w:r>
      <w:proofErr w:type="spellStart"/>
      <w:r w:rsidRPr="00346CE4">
        <w:rPr>
          <w:sz w:val="24"/>
          <w:szCs w:val="24"/>
        </w:rPr>
        <w:t>şi</w:t>
      </w:r>
      <w:proofErr w:type="spellEnd"/>
      <w:r w:rsidRPr="00346CE4">
        <w:rPr>
          <w:sz w:val="24"/>
          <w:szCs w:val="24"/>
        </w:rPr>
        <w:t xml:space="preserve"> din Ucraina. Totodată, vor fi eliminate restricțiile existente la momentul actual de limitare a nivelului densității fluxului de putere la hotar cu administrațiile țărilor ce utilizează benzile respective pentru stații din cadrul serviciului fix prin satelit, stabilite de nota 5.430A a Regulamentului Radiocomunicațiilor al UIT.</w:t>
      </w:r>
    </w:p>
    <w:p w:rsidR="00346CE4" w:rsidRPr="00346CE4" w:rsidRDefault="00346CE4" w:rsidP="00346CE4">
      <w:pPr>
        <w:tabs>
          <w:tab w:val="left" w:pos="0"/>
        </w:tabs>
        <w:rPr>
          <w:bCs/>
          <w:sz w:val="24"/>
          <w:szCs w:val="24"/>
        </w:rPr>
      </w:pPr>
      <w:r w:rsidRPr="00346CE4">
        <w:rPr>
          <w:b/>
          <w:sz w:val="24"/>
          <w:szCs w:val="24"/>
        </w:rPr>
        <w:t xml:space="preserve">6) În banda de </w:t>
      </w:r>
      <w:proofErr w:type="spellStart"/>
      <w:r w:rsidRPr="00346CE4">
        <w:rPr>
          <w:b/>
          <w:sz w:val="24"/>
          <w:szCs w:val="24"/>
        </w:rPr>
        <w:t>frecvenţe</w:t>
      </w:r>
      <w:proofErr w:type="spellEnd"/>
      <w:r w:rsidRPr="00346CE4">
        <w:rPr>
          <w:b/>
          <w:sz w:val="24"/>
          <w:szCs w:val="24"/>
        </w:rPr>
        <w:t xml:space="preserve"> 26 GHz</w:t>
      </w:r>
      <w:r w:rsidRPr="00346CE4">
        <w:rPr>
          <w:sz w:val="24"/>
          <w:szCs w:val="24"/>
        </w:rPr>
        <w:t xml:space="preserve"> există o probabilitate redusă </w:t>
      </w:r>
      <w:r w:rsidRPr="00346CE4">
        <w:rPr>
          <w:bCs/>
          <w:sz w:val="24"/>
          <w:szCs w:val="24"/>
        </w:rPr>
        <w:t xml:space="preserve">de </w:t>
      </w:r>
      <w:proofErr w:type="spellStart"/>
      <w:r w:rsidRPr="00346CE4">
        <w:rPr>
          <w:bCs/>
          <w:sz w:val="24"/>
          <w:szCs w:val="24"/>
        </w:rPr>
        <w:t>interferenţe</w:t>
      </w:r>
      <w:proofErr w:type="spellEnd"/>
      <w:r w:rsidRPr="00346CE4">
        <w:rPr>
          <w:bCs/>
          <w:sz w:val="24"/>
          <w:szCs w:val="24"/>
        </w:rPr>
        <w:t xml:space="preserve"> mutuale în zonele transfrontaliere. În scopul eficientizării utilizării resurselor de spectru, prezintă interes examinarea posibilității unei abordări comune privind chestiunea utilizării sincronizate ale rețelelor TDD ale </w:t>
      </w:r>
      <w:r w:rsidRPr="00346CE4">
        <w:rPr>
          <w:sz w:val="24"/>
          <w:szCs w:val="24"/>
        </w:rPr>
        <w:t>furnizor</w:t>
      </w:r>
      <w:r w:rsidRPr="00346CE4">
        <w:rPr>
          <w:bCs/>
          <w:sz w:val="24"/>
          <w:szCs w:val="24"/>
        </w:rPr>
        <w:t>ilor din Republica Moldova cu rețelele similare din țările vecine, după caz.</w:t>
      </w:r>
    </w:p>
    <w:p w:rsidR="00346CE4" w:rsidRPr="00346CE4" w:rsidRDefault="00346CE4" w:rsidP="00346CE4">
      <w:pPr>
        <w:tabs>
          <w:tab w:val="left" w:pos="0"/>
        </w:tabs>
        <w:rPr>
          <w:bCs/>
          <w:sz w:val="24"/>
          <w:szCs w:val="24"/>
        </w:rPr>
      </w:pPr>
      <w:r w:rsidRPr="00346CE4">
        <w:rPr>
          <w:b/>
          <w:bCs/>
          <w:sz w:val="24"/>
          <w:szCs w:val="24"/>
        </w:rPr>
        <w:t>7) La nivel național, în benzile TDD</w:t>
      </w:r>
      <w:r w:rsidRPr="00346CE4">
        <w:rPr>
          <w:bCs/>
          <w:sz w:val="24"/>
          <w:szCs w:val="24"/>
        </w:rPr>
        <w:t xml:space="preserve">, în scopul diminuării semnificative a riscurilor de interferențe BS-BS și MS-MS este preferabilă operarea în regim sincron, permițând, astfel, coexistența între rețelele adiacente, fără a fi nevoie de benzi de protecție sau filtre suplimentare. </w:t>
      </w:r>
      <w:r w:rsidRPr="00346CE4">
        <w:rPr>
          <w:bCs/>
          <w:sz w:val="24"/>
          <w:szCs w:val="24"/>
        </w:rPr>
        <w:lastRenderedPageBreak/>
        <w:t xml:space="preserve">Acest mod de operare simplifică implementarea rețelei, deoarece nu necesită acțiuni suplimentare de diminuare a interferențelor. Operarea sincronizată implică selectarea unei structuri de cadru compatibile, care determină un raport de transmisie DL/UL specific și lungimea cadrului care contribuie la performanța rețelei (de exemplu, latență, eficiență spectrală, capacitate și acoperire). Pentru operarea sincronizată, va fi definit un cadru de reglementare comun în condițiile de licență la nivel național pentru toți furnizorii, în baza celor mai bune practici existente la nivel european (de exemplu ar putea servi ca bază </w:t>
      </w:r>
      <w:r w:rsidRPr="00346CE4">
        <w:rPr>
          <w:sz w:val="24"/>
          <w:szCs w:val="24"/>
        </w:rPr>
        <w:t>Recomandarea ECC/REC(20)03</w:t>
      </w:r>
      <w:r w:rsidRPr="00346CE4">
        <w:rPr>
          <w:bCs/>
          <w:sz w:val="24"/>
          <w:szCs w:val="24"/>
        </w:rPr>
        <w:t>), inclusiv o referință comună a ceasului de fază (de exemplu, UTC) și o structură compatibilă a cadrului pentru a evita emisiile simultane UL/DL.</w:t>
      </w:r>
    </w:p>
    <w:p w:rsidR="00346CE4" w:rsidRPr="00346CE4" w:rsidRDefault="00346CE4" w:rsidP="00346CE4">
      <w:pPr>
        <w:tabs>
          <w:tab w:val="left" w:pos="0"/>
        </w:tabs>
        <w:outlineLvl w:val="0"/>
        <w:rPr>
          <w:b/>
          <w:sz w:val="24"/>
          <w:szCs w:val="24"/>
        </w:rPr>
      </w:pPr>
    </w:p>
    <w:p w:rsidR="00346CE4" w:rsidRPr="00346CE4" w:rsidRDefault="00346CE4" w:rsidP="00346CE4">
      <w:pPr>
        <w:tabs>
          <w:tab w:val="left" w:pos="0"/>
        </w:tabs>
        <w:outlineLvl w:val="0"/>
        <w:rPr>
          <w:b/>
          <w:sz w:val="24"/>
          <w:szCs w:val="24"/>
        </w:rPr>
      </w:pPr>
      <w:r w:rsidRPr="00346CE4">
        <w:rPr>
          <w:b/>
          <w:sz w:val="24"/>
          <w:szCs w:val="24"/>
        </w:rPr>
        <w:t xml:space="preserve">22. Restricții și limitări posibile în zonele de frontieră cu </w:t>
      </w:r>
      <w:proofErr w:type="spellStart"/>
      <w:r w:rsidRPr="00346CE4">
        <w:rPr>
          <w:b/>
          <w:sz w:val="24"/>
          <w:szCs w:val="24"/>
        </w:rPr>
        <w:t>ţările</w:t>
      </w:r>
      <w:proofErr w:type="spellEnd"/>
      <w:r w:rsidRPr="00346CE4">
        <w:rPr>
          <w:b/>
          <w:sz w:val="24"/>
          <w:szCs w:val="24"/>
        </w:rPr>
        <w:t xml:space="preserve"> vecine (România </w:t>
      </w:r>
      <w:proofErr w:type="spellStart"/>
      <w:r w:rsidRPr="00346CE4">
        <w:rPr>
          <w:b/>
          <w:sz w:val="24"/>
          <w:szCs w:val="24"/>
        </w:rPr>
        <w:t>şi</w:t>
      </w:r>
      <w:proofErr w:type="spellEnd"/>
      <w:r w:rsidRPr="00346CE4">
        <w:rPr>
          <w:b/>
          <w:sz w:val="24"/>
          <w:szCs w:val="24"/>
        </w:rPr>
        <w:t xml:space="preserve"> Ucraina) și raioanele de est ale Republicii Moldova</w:t>
      </w:r>
    </w:p>
    <w:p w:rsidR="00346CE4" w:rsidRPr="00346CE4" w:rsidRDefault="00346CE4" w:rsidP="00346CE4">
      <w:pPr>
        <w:tabs>
          <w:tab w:val="left" w:pos="0"/>
        </w:tabs>
        <w:ind w:firstLine="720"/>
        <w:rPr>
          <w:sz w:val="24"/>
          <w:szCs w:val="24"/>
        </w:rPr>
      </w:pPr>
      <w:r w:rsidRPr="00346CE4">
        <w:rPr>
          <w:sz w:val="24"/>
          <w:szCs w:val="24"/>
        </w:rPr>
        <w:t xml:space="preserve">Rezultatele analizei efectuate de către organul central de specialitate privind utilizarea benzilor de </w:t>
      </w:r>
      <w:proofErr w:type="spellStart"/>
      <w:r w:rsidRPr="00346CE4">
        <w:rPr>
          <w:sz w:val="24"/>
          <w:szCs w:val="24"/>
        </w:rPr>
        <w:t>frecvenţe</w:t>
      </w:r>
      <w:proofErr w:type="spellEnd"/>
      <w:r w:rsidRPr="00346CE4">
        <w:rPr>
          <w:sz w:val="24"/>
          <w:szCs w:val="24"/>
        </w:rPr>
        <w:t xml:space="preserve"> radio în zonele de frontieră cu </w:t>
      </w:r>
      <w:proofErr w:type="spellStart"/>
      <w:r w:rsidRPr="00346CE4">
        <w:rPr>
          <w:sz w:val="24"/>
          <w:szCs w:val="24"/>
        </w:rPr>
        <w:t>ţările</w:t>
      </w:r>
      <w:proofErr w:type="spellEnd"/>
      <w:r w:rsidRPr="00346CE4">
        <w:rPr>
          <w:sz w:val="24"/>
          <w:szCs w:val="24"/>
        </w:rPr>
        <w:t xml:space="preserve"> vecine (România </w:t>
      </w:r>
      <w:proofErr w:type="spellStart"/>
      <w:r w:rsidRPr="00346CE4">
        <w:rPr>
          <w:sz w:val="24"/>
          <w:szCs w:val="24"/>
        </w:rPr>
        <w:t>şi</w:t>
      </w:r>
      <w:proofErr w:type="spellEnd"/>
      <w:r w:rsidRPr="00346CE4">
        <w:rPr>
          <w:sz w:val="24"/>
          <w:szCs w:val="24"/>
        </w:rPr>
        <w:t xml:space="preserve"> Ucraina) și raioanele de est ale Republicii Moldova au fost sistematizate în tabelul 3.</w:t>
      </w:r>
    </w:p>
    <w:p w:rsidR="00346CE4" w:rsidRPr="00346CE4" w:rsidRDefault="00346CE4" w:rsidP="00346CE4">
      <w:pPr>
        <w:tabs>
          <w:tab w:val="left" w:pos="1134"/>
        </w:tabs>
        <w:jc w:val="right"/>
        <w:rPr>
          <w:sz w:val="24"/>
          <w:szCs w:val="24"/>
        </w:rPr>
      </w:pPr>
    </w:p>
    <w:p w:rsidR="00346CE4" w:rsidRPr="00346CE4" w:rsidRDefault="00346CE4" w:rsidP="00346CE4">
      <w:pPr>
        <w:tabs>
          <w:tab w:val="left" w:pos="1134"/>
        </w:tabs>
        <w:jc w:val="right"/>
        <w:rPr>
          <w:b/>
          <w:sz w:val="24"/>
          <w:szCs w:val="24"/>
        </w:rPr>
      </w:pPr>
      <w:r w:rsidRPr="00346CE4">
        <w:rPr>
          <w:b/>
          <w:sz w:val="24"/>
          <w:szCs w:val="24"/>
        </w:rPr>
        <w:t>Tabelul 3</w:t>
      </w:r>
    </w:p>
    <w:p w:rsidR="00346CE4" w:rsidRPr="00346CE4" w:rsidRDefault="00346CE4" w:rsidP="00346CE4">
      <w:pPr>
        <w:tabs>
          <w:tab w:val="left" w:pos="1134"/>
        </w:tabs>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370"/>
        <w:gridCol w:w="2300"/>
        <w:gridCol w:w="2668"/>
        <w:gridCol w:w="2168"/>
      </w:tblGrid>
      <w:tr w:rsidR="00346CE4" w:rsidRPr="00346CE4" w:rsidTr="0068170A">
        <w:trPr>
          <w:trHeight w:val="569"/>
        </w:trPr>
        <w:tc>
          <w:tcPr>
            <w:tcW w:w="336" w:type="pct"/>
            <w:shd w:val="clear" w:color="auto" w:fill="auto"/>
            <w:vAlign w:val="center"/>
          </w:tcPr>
          <w:p w:rsidR="00346CE4" w:rsidRPr="00346CE4" w:rsidRDefault="00346CE4" w:rsidP="00346CE4">
            <w:pPr>
              <w:tabs>
                <w:tab w:val="left" w:pos="1134"/>
              </w:tabs>
              <w:ind w:firstLine="0"/>
              <w:jc w:val="center"/>
              <w:rPr>
                <w:b/>
                <w:sz w:val="24"/>
                <w:szCs w:val="24"/>
              </w:rPr>
            </w:pPr>
            <w:r w:rsidRPr="00346CE4">
              <w:rPr>
                <w:b/>
                <w:sz w:val="24"/>
                <w:szCs w:val="24"/>
              </w:rPr>
              <w:t>Nr.</w:t>
            </w:r>
          </w:p>
          <w:p w:rsidR="00346CE4" w:rsidRPr="00346CE4" w:rsidRDefault="00346CE4" w:rsidP="00346CE4">
            <w:pPr>
              <w:tabs>
                <w:tab w:val="left" w:pos="1134"/>
              </w:tabs>
              <w:ind w:firstLine="0"/>
              <w:jc w:val="center"/>
              <w:rPr>
                <w:b/>
                <w:sz w:val="24"/>
                <w:szCs w:val="24"/>
              </w:rPr>
            </w:pPr>
            <w:r w:rsidRPr="00346CE4">
              <w:rPr>
                <w:b/>
                <w:sz w:val="24"/>
                <w:szCs w:val="24"/>
              </w:rPr>
              <w:t>crt.</w:t>
            </w:r>
          </w:p>
        </w:tc>
        <w:tc>
          <w:tcPr>
            <w:tcW w:w="751" w:type="pct"/>
            <w:shd w:val="clear" w:color="auto" w:fill="auto"/>
            <w:vAlign w:val="center"/>
          </w:tcPr>
          <w:p w:rsidR="00346CE4" w:rsidRPr="00346CE4" w:rsidRDefault="00346CE4" w:rsidP="00346CE4">
            <w:pPr>
              <w:tabs>
                <w:tab w:val="left" w:pos="1134"/>
              </w:tabs>
              <w:ind w:firstLine="0"/>
              <w:jc w:val="center"/>
              <w:rPr>
                <w:b/>
                <w:sz w:val="24"/>
                <w:szCs w:val="24"/>
              </w:rPr>
            </w:pPr>
            <w:r w:rsidRPr="00346CE4">
              <w:rPr>
                <w:b/>
                <w:sz w:val="24"/>
                <w:szCs w:val="24"/>
              </w:rPr>
              <w:t xml:space="preserve">Banda de </w:t>
            </w:r>
            <w:proofErr w:type="spellStart"/>
            <w:r w:rsidRPr="00346CE4">
              <w:rPr>
                <w:b/>
                <w:sz w:val="24"/>
                <w:szCs w:val="24"/>
              </w:rPr>
              <w:t>frecvenţe</w:t>
            </w:r>
            <w:proofErr w:type="spellEnd"/>
            <w:r w:rsidRPr="00346CE4">
              <w:rPr>
                <w:b/>
                <w:sz w:val="24"/>
                <w:szCs w:val="24"/>
              </w:rPr>
              <w:t>, MHz</w:t>
            </w:r>
          </w:p>
        </w:tc>
        <w:tc>
          <w:tcPr>
            <w:tcW w:w="1261" w:type="pct"/>
            <w:shd w:val="clear" w:color="auto" w:fill="auto"/>
            <w:vAlign w:val="center"/>
          </w:tcPr>
          <w:p w:rsidR="00346CE4" w:rsidRPr="00346CE4" w:rsidRDefault="00346CE4" w:rsidP="00346CE4">
            <w:pPr>
              <w:tabs>
                <w:tab w:val="left" w:pos="1134"/>
              </w:tabs>
              <w:ind w:firstLine="0"/>
              <w:jc w:val="center"/>
              <w:rPr>
                <w:b/>
                <w:sz w:val="24"/>
                <w:szCs w:val="24"/>
              </w:rPr>
            </w:pPr>
            <w:r w:rsidRPr="00346CE4">
              <w:rPr>
                <w:b/>
                <w:sz w:val="24"/>
                <w:szCs w:val="24"/>
              </w:rPr>
              <w:t>Ucraina</w:t>
            </w:r>
          </w:p>
        </w:tc>
        <w:tc>
          <w:tcPr>
            <w:tcW w:w="1463" w:type="pct"/>
            <w:shd w:val="clear" w:color="auto" w:fill="auto"/>
            <w:vAlign w:val="center"/>
          </w:tcPr>
          <w:p w:rsidR="00346CE4" w:rsidRPr="00346CE4" w:rsidRDefault="00346CE4" w:rsidP="00346CE4">
            <w:pPr>
              <w:tabs>
                <w:tab w:val="left" w:pos="1134"/>
              </w:tabs>
              <w:ind w:firstLine="0"/>
              <w:jc w:val="center"/>
              <w:rPr>
                <w:b/>
                <w:sz w:val="24"/>
                <w:szCs w:val="24"/>
              </w:rPr>
            </w:pPr>
            <w:r w:rsidRPr="00346CE4">
              <w:rPr>
                <w:b/>
                <w:sz w:val="24"/>
                <w:szCs w:val="24"/>
              </w:rPr>
              <w:t>România</w:t>
            </w:r>
          </w:p>
        </w:tc>
        <w:tc>
          <w:tcPr>
            <w:tcW w:w="1189" w:type="pct"/>
            <w:vAlign w:val="center"/>
          </w:tcPr>
          <w:p w:rsidR="00346CE4" w:rsidRPr="00346CE4" w:rsidRDefault="00346CE4" w:rsidP="00346CE4">
            <w:pPr>
              <w:tabs>
                <w:tab w:val="left" w:pos="1134"/>
              </w:tabs>
              <w:ind w:firstLine="0"/>
              <w:jc w:val="center"/>
              <w:rPr>
                <w:b/>
                <w:sz w:val="24"/>
                <w:szCs w:val="24"/>
              </w:rPr>
            </w:pPr>
            <w:r w:rsidRPr="00346CE4">
              <w:rPr>
                <w:b/>
                <w:sz w:val="24"/>
                <w:szCs w:val="24"/>
              </w:rPr>
              <w:t>Riscuri sau limitări aplicabile</w:t>
            </w:r>
          </w:p>
        </w:tc>
      </w:tr>
      <w:tr w:rsidR="00346CE4" w:rsidRPr="00346CE4" w:rsidTr="0068170A">
        <w:trPr>
          <w:trHeight w:val="2114"/>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1.</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bCs/>
                <w:sz w:val="24"/>
                <w:szCs w:val="24"/>
              </w:rPr>
              <w:t>452,5-457,5/ 462,5-467,5</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Utilizare partajată de către rețele de comunicații mobile. În anul 2010 a fost eliberată </w:t>
            </w:r>
            <w:proofErr w:type="spellStart"/>
            <w:r w:rsidRPr="00346CE4">
              <w:rPr>
                <w:sz w:val="24"/>
                <w:szCs w:val="24"/>
              </w:rPr>
              <w:t>licenţa</w:t>
            </w:r>
            <w:proofErr w:type="spellEnd"/>
            <w:r w:rsidRPr="00346CE4">
              <w:rPr>
                <w:sz w:val="24"/>
                <w:szCs w:val="24"/>
              </w:rPr>
              <w:t xml:space="preserve"> furnizorului МТС Ucraina pentru furnizarea serviciilor de telefonie mobilă. Activitatea rețelei CDMA a fost sistată pe 31 mai 2018.</w:t>
            </w:r>
          </w:p>
          <w:p w:rsidR="00346CE4" w:rsidRPr="00346CE4" w:rsidRDefault="00346CE4" w:rsidP="00346CE4">
            <w:pPr>
              <w:tabs>
                <w:tab w:val="left" w:pos="1134"/>
              </w:tabs>
              <w:ind w:firstLine="0"/>
              <w:rPr>
                <w:i/>
                <w:sz w:val="24"/>
                <w:szCs w:val="24"/>
              </w:rPr>
            </w:pPr>
            <w:r w:rsidRPr="00346CE4">
              <w:rPr>
                <w:sz w:val="24"/>
                <w:szCs w:val="24"/>
              </w:rPr>
              <w:t xml:space="preserve">(La momentul de față serviciul de monitoring al </w:t>
            </w:r>
            <w:proofErr w:type="spellStart"/>
            <w:r w:rsidRPr="00346CE4">
              <w:rPr>
                <w:sz w:val="24"/>
                <w:szCs w:val="24"/>
              </w:rPr>
              <w:t>Instituţiei</w:t>
            </w:r>
            <w:proofErr w:type="spellEnd"/>
            <w:r w:rsidRPr="00346CE4">
              <w:rPr>
                <w:sz w:val="24"/>
                <w:szCs w:val="24"/>
              </w:rPr>
              <w:t xml:space="preserve"> Publice ,,Serviciul Național de Management al Frecvențelor Radio” nu a depistat </w:t>
            </w:r>
            <w:proofErr w:type="spellStart"/>
            <w:r w:rsidRPr="00346CE4">
              <w:rPr>
                <w:sz w:val="24"/>
                <w:szCs w:val="24"/>
              </w:rPr>
              <w:t>funcţionarea</w:t>
            </w:r>
            <w:proofErr w:type="spellEnd"/>
            <w:r w:rsidRPr="00346CE4">
              <w:rPr>
                <w:sz w:val="24"/>
                <w:szCs w:val="24"/>
              </w:rPr>
              <w:t xml:space="preserve"> </w:t>
            </w:r>
            <w:proofErr w:type="spellStart"/>
            <w:r w:rsidRPr="00346CE4">
              <w:rPr>
                <w:sz w:val="24"/>
                <w:szCs w:val="24"/>
              </w:rPr>
              <w:t>reţelei</w:t>
            </w:r>
            <w:proofErr w:type="spellEnd"/>
            <w:r w:rsidRPr="00346CE4">
              <w:rPr>
                <w:sz w:val="24"/>
                <w:szCs w:val="24"/>
              </w:rPr>
              <w:t xml:space="preserve"> în zona de frontieră cu Republica Moldova)</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Statut neguvernamental și aplicații posibile de implementare a rețelelor publice celulare în banda 453-457,5 MHz/463-467,5 MHz. Restul porțiunilor din banda respectivă au statut guvernamental/militar sau unele porțiuni sunt destinate implementării PMR/PAMR de bandă îngustă</w:t>
            </w:r>
          </w:p>
        </w:tc>
        <w:tc>
          <w:tcPr>
            <w:tcW w:w="1189" w:type="pct"/>
          </w:tcPr>
          <w:p w:rsidR="00346CE4" w:rsidRPr="00346CE4" w:rsidRDefault="00346CE4" w:rsidP="00346CE4">
            <w:pPr>
              <w:tabs>
                <w:tab w:val="left" w:pos="1134"/>
              </w:tabs>
              <w:ind w:firstLine="0"/>
              <w:rPr>
                <w:sz w:val="24"/>
                <w:szCs w:val="24"/>
              </w:rPr>
            </w:pPr>
            <w:r w:rsidRPr="00346CE4">
              <w:rPr>
                <w:sz w:val="24"/>
                <w:szCs w:val="24"/>
              </w:rPr>
              <w:t>Nu au fost identificate riscuri de compatibilitate electromagnetică sau limitări la implementare.</w:t>
            </w:r>
          </w:p>
          <w:p w:rsidR="00346CE4" w:rsidRPr="00346CE4" w:rsidRDefault="00346CE4" w:rsidP="00346CE4">
            <w:pPr>
              <w:tabs>
                <w:tab w:val="left" w:pos="1134"/>
              </w:tabs>
              <w:ind w:firstLine="0"/>
              <w:rPr>
                <w:bCs/>
                <w:sz w:val="24"/>
                <w:szCs w:val="24"/>
              </w:rPr>
            </w:pPr>
          </w:p>
          <w:p w:rsidR="00346CE4" w:rsidRPr="00346CE4" w:rsidRDefault="00346CE4" w:rsidP="00346CE4">
            <w:pPr>
              <w:tabs>
                <w:tab w:val="left" w:pos="1134"/>
              </w:tabs>
              <w:ind w:firstLine="0"/>
              <w:rPr>
                <w:bCs/>
                <w:sz w:val="24"/>
                <w:szCs w:val="24"/>
              </w:rPr>
            </w:pPr>
            <w:r w:rsidRPr="00346CE4">
              <w:rPr>
                <w:bCs/>
                <w:sz w:val="24"/>
                <w:szCs w:val="24"/>
              </w:rPr>
              <w:t xml:space="preserve">Sunt posibile unele limitări ale implementării cauzate de utilizarea neautorizată a benzii de către </w:t>
            </w:r>
            <w:r w:rsidRPr="00346CE4">
              <w:rPr>
                <w:sz w:val="24"/>
                <w:szCs w:val="24"/>
              </w:rPr>
              <w:t>operatorul</w:t>
            </w:r>
            <w:r w:rsidRPr="00346CE4">
              <w:rPr>
                <w:bCs/>
                <w:sz w:val="24"/>
                <w:szCs w:val="24"/>
              </w:rPr>
              <w:t xml:space="preserve"> din raioanele de est ale Republicii Moldova</w:t>
            </w:r>
          </w:p>
        </w:tc>
      </w:tr>
      <w:tr w:rsidR="00346CE4" w:rsidRPr="00346CE4" w:rsidTr="0068170A">
        <w:trPr>
          <w:trHeight w:val="699"/>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2.</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694-790</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Se utilizează pentru serviciile: </w:t>
            </w:r>
            <w:proofErr w:type="spellStart"/>
            <w:r w:rsidRPr="00346CE4">
              <w:rPr>
                <w:sz w:val="24"/>
                <w:szCs w:val="24"/>
              </w:rPr>
              <w:t>radionavigaţie</w:t>
            </w:r>
            <w:proofErr w:type="spellEnd"/>
            <w:r w:rsidRPr="00346CE4">
              <w:rPr>
                <w:sz w:val="24"/>
                <w:szCs w:val="24"/>
              </w:rPr>
              <w:t xml:space="preserve"> aeronautică; televiziune; SAP/SAB &amp; ENG/OB.</w:t>
            </w:r>
          </w:p>
          <w:p w:rsidR="00346CE4" w:rsidRPr="00346CE4" w:rsidRDefault="00346CE4" w:rsidP="00346CE4">
            <w:pPr>
              <w:tabs>
                <w:tab w:val="left" w:pos="1134"/>
              </w:tabs>
              <w:ind w:firstLine="0"/>
              <w:rPr>
                <w:sz w:val="24"/>
                <w:szCs w:val="24"/>
              </w:rPr>
            </w:pPr>
          </w:p>
          <w:p w:rsidR="00346CE4" w:rsidRPr="00346CE4" w:rsidRDefault="00346CE4" w:rsidP="00346CE4">
            <w:pPr>
              <w:tabs>
                <w:tab w:val="left" w:pos="1134"/>
              </w:tabs>
              <w:ind w:firstLine="0"/>
              <w:rPr>
                <w:sz w:val="24"/>
                <w:szCs w:val="24"/>
              </w:rPr>
            </w:pPr>
            <w:r w:rsidRPr="00346CE4">
              <w:rPr>
                <w:sz w:val="24"/>
                <w:szCs w:val="24"/>
              </w:rPr>
              <w:t>Conform Deciziei</w:t>
            </w:r>
          </w:p>
          <w:p w:rsidR="00346CE4" w:rsidRPr="00346CE4" w:rsidRDefault="00346CE4" w:rsidP="00346CE4">
            <w:pPr>
              <w:tabs>
                <w:tab w:val="left" w:pos="1134"/>
              </w:tabs>
              <w:ind w:firstLine="0"/>
              <w:rPr>
                <w:sz w:val="24"/>
                <w:szCs w:val="24"/>
              </w:rPr>
            </w:pPr>
            <w:r w:rsidRPr="00346CE4">
              <w:rPr>
                <w:sz w:val="24"/>
                <w:szCs w:val="24"/>
              </w:rPr>
              <w:t>nr.1272-r din 4 decembrie 2019 a Cabinetului de Miniștri al Ucrainei, banda este destinată pentru comunicații mobile în bandă largă</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lastRenderedPageBreak/>
              <w:t xml:space="preserve">ANCOM a stabilit punerea la dispoziție a 2 x 30 MHz (6 blocuri de 2x5 MHz) din banda de 700 MHz, respectiv benzile de frecvențe pereche 703-733 MHz, 758-788 MHz, </w:t>
            </w:r>
            <w:r w:rsidRPr="00346CE4">
              <w:rPr>
                <w:sz w:val="24"/>
                <w:szCs w:val="24"/>
              </w:rPr>
              <w:lastRenderedPageBreak/>
              <w:t xml:space="preserve">pentru furnizarea de rețele MFCN în mod de operare FDD, și a 15 MHz (3 blocuri de 5 MHz), respectiv </w:t>
            </w:r>
            <w:proofErr w:type="spellStart"/>
            <w:r w:rsidRPr="00346CE4">
              <w:rPr>
                <w:sz w:val="24"/>
                <w:szCs w:val="24"/>
              </w:rPr>
              <w:t>subbanda</w:t>
            </w:r>
            <w:proofErr w:type="spellEnd"/>
            <w:r w:rsidRPr="00346CE4">
              <w:rPr>
                <w:sz w:val="24"/>
                <w:szCs w:val="24"/>
              </w:rPr>
              <w:t xml:space="preserve"> 738-753 MHz, pentru legătura descendentă suplimentară a rețelelor MFCN. De asemenea, s-a stabilit alocarea </w:t>
            </w:r>
            <w:proofErr w:type="spellStart"/>
            <w:r w:rsidRPr="00346CE4">
              <w:rPr>
                <w:sz w:val="24"/>
                <w:szCs w:val="24"/>
              </w:rPr>
              <w:t>subbenzilor</w:t>
            </w:r>
            <w:proofErr w:type="spellEnd"/>
            <w:r w:rsidRPr="00346CE4">
              <w:rPr>
                <w:sz w:val="24"/>
                <w:szCs w:val="24"/>
              </w:rPr>
              <w:t xml:space="preserve"> de frecvențe pereche 698-703 MHz și 753-758 MHz (2x5 MHz) și a </w:t>
            </w:r>
            <w:proofErr w:type="spellStart"/>
            <w:r w:rsidRPr="00346CE4">
              <w:rPr>
                <w:sz w:val="24"/>
                <w:szCs w:val="24"/>
              </w:rPr>
              <w:t>subbenzilor</w:t>
            </w:r>
            <w:proofErr w:type="spellEnd"/>
            <w:r w:rsidRPr="00346CE4">
              <w:rPr>
                <w:sz w:val="24"/>
                <w:szCs w:val="24"/>
              </w:rPr>
              <w:t xml:space="preserve"> pereche 733-736 MHz și 788-791 MHz (2x3 MHz) pentru implementarea unei rețele dedicate comunicațiilor BB</w:t>
            </w:r>
            <w:r w:rsidRPr="00346CE4">
              <w:rPr>
                <w:sz w:val="24"/>
                <w:szCs w:val="24"/>
              </w:rPr>
              <w:noBreakHyphen/>
              <w:t>PPDR</w:t>
            </w:r>
          </w:p>
        </w:tc>
        <w:tc>
          <w:tcPr>
            <w:tcW w:w="1189" w:type="pct"/>
          </w:tcPr>
          <w:p w:rsidR="00346CE4" w:rsidRPr="00346CE4" w:rsidRDefault="00346CE4" w:rsidP="00346CE4">
            <w:pPr>
              <w:tabs>
                <w:tab w:val="left" w:pos="1134"/>
              </w:tabs>
              <w:ind w:firstLine="0"/>
              <w:rPr>
                <w:sz w:val="24"/>
                <w:szCs w:val="24"/>
              </w:rPr>
            </w:pPr>
            <w:r w:rsidRPr="00346CE4">
              <w:rPr>
                <w:sz w:val="24"/>
                <w:szCs w:val="24"/>
              </w:rPr>
              <w:lastRenderedPageBreak/>
              <w:t xml:space="preserve">În cazul continuării utilizării benzilor respective de către serviciul de radiodifuziune în Ucraina și în raioanele de est ale </w:t>
            </w:r>
            <w:r w:rsidRPr="00346CE4">
              <w:rPr>
                <w:sz w:val="24"/>
                <w:szCs w:val="24"/>
              </w:rPr>
              <w:lastRenderedPageBreak/>
              <w:t>Republicii Moldova, sunt posibile interferențe din partea stațiilor de televiziune din Ucraina și raioanele de est ale Republicii Moldova.</w:t>
            </w:r>
          </w:p>
          <w:p w:rsidR="00346CE4" w:rsidRPr="00346CE4" w:rsidRDefault="00346CE4" w:rsidP="00346CE4">
            <w:pPr>
              <w:tabs>
                <w:tab w:val="left" w:pos="1134"/>
              </w:tabs>
              <w:ind w:firstLine="0"/>
              <w:rPr>
                <w:sz w:val="24"/>
                <w:szCs w:val="24"/>
              </w:rPr>
            </w:pPr>
          </w:p>
          <w:p w:rsidR="00346CE4" w:rsidRPr="00346CE4" w:rsidRDefault="00346CE4" w:rsidP="00346CE4">
            <w:pPr>
              <w:tabs>
                <w:tab w:val="left" w:pos="1134"/>
              </w:tabs>
              <w:ind w:firstLine="0"/>
              <w:rPr>
                <w:sz w:val="24"/>
                <w:szCs w:val="24"/>
              </w:rPr>
            </w:pPr>
            <w:r w:rsidRPr="00346CE4">
              <w:rPr>
                <w:sz w:val="24"/>
                <w:szCs w:val="24"/>
              </w:rPr>
              <w:t>Anumite limitări referitor la nivelul intensității câmpului electromagnetic la hotar cu Ucraina vor fi aplicabile în scopul protejării stațiilor din cadrul serviciului de radionavigație aeronautică</w:t>
            </w:r>
          </w:p>
        </w:tc>
      </w:tr>
      <w:tr w:rsidR="00346CE4" w:rsidRPr="00346CE4" w:rsidTr="0068170A">
        <w:trPr>
          <w:trHeight w:val="416"/>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lastRenderedPageBreak/>
              <w:t>3.</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880-890/ 925-935</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Se utilizează pentru sisteme de telefonie mobilă standard CDMA 2000 (în banda 880-889, 26 MHz). Parțial este  utilizată banda 888-890 MHz </w:t>
            </w:r>
            <w:r w:rsidRPr="00346CE4">
              <w:rPr>
                <w:sz w:val="24"/>
                <w:szCs w:val="24"/>
                <w:lang w:eastAsia="ro-RO"/>
              </w:rPr>
              <w:t>E-GSM (PJSC ,,</w:t>
            </w:r>
            <w:proofErr w:type="spellStart"/>
            <w:r w:rsidRPr="00346CE4">
              <w:rPr>
                <w:sz w:val="24"/>
                <w:szCs w:val="24"/>
                <w:lang w:eastAsia="ro-RO"/>
              </w:rPr>
              <w:t>Kyivstar</w:t>
            </w:r>
            <w:proofErr w:type="spellEnd"/>
            <w:r w:rsidRPr="00346CE4">
              <w:rPr>
                <w:sz w:val="24"/>
                <w:szCs w:val="24"/>
                <w:lang w:eastAsia="ro-RO"/>
              </w:rPr>
              <w:t>” expiră 16 octombrie 2030).</w:t>
            </w:r>
            <w:r w:rsidRPr="00346CE4">
              <w:rPr>
                <w:sz w:val="24"/>
                <w:szCs w:val="24"/>
              </w:rPr>
              <w:t xml:space="preserve"> Decretul președintelui Ucrainei din 8 iulie 2019 nr. 497/2019 prevede armonizarea cu UE a aranjamentelor canalelor</w:t>
            </w:r>
          </w:p>
        </w:tc>
        <w:tc>
          <w:tcPr>
            <w:tcW w:w="1463" w:type="pct"/>
            <w:shd w:val="clear" w:color="auto" w:fill="auto"/>
          </w:tcPr>
          <w:p w:rsidR="00346CE4" w:rsidRPr="00346CE4" w:rsidRDefault="00346CE4" w:rsidP="00346CE4">
            <w:pPr>
              <w:tabs>
                <w:tab w:val="left" w:pos="1134"/>
              </w:tabs>
              <w:ind w:firstLine="0"/>
              <w:rPr>
                <w:bCs/>
                <w:sz w:val="24"/>
                <w:szCs w:val="24"/>
              </w:rPr>
            </w:pPr>
            <w:r w:rsidRPr="00346CE4">
              <w:rPr>
                <w:sz w:val="24"/>
                <w:szCs w:val="24"/>
              </w:rPr>
              <w:t xml:space="preserve">Se utilizează </w:t>
            </w:r>
            <w:proofErr w:type="spellStart"/>
            <w:r w:rsidRPr="00346CE4">
              <w:rPr>
                <w:sz w:val="24"/>
                <w:szCs w:val="24"/>
              </w:rPr>
              <w:t>şi</w:t>
            </w:r>
            <w:proofErr w:type="spellEnd"/>
            <w:r w:rsidRPr="00346CE4">
              <w:rPr>
                <w:sz w:val="24"/>
                <w:szCs w:val="24"/>
              </w:rPr>
              <w:t xml:space="preserve"> sunt </w:t>
            </w:r>
            <w:r w:rsidRPr="00346CE4">
              <w:rPr>
                <w:bCs/>
                <w:sz w:val="24"/>
                <w:szCs w:val="24"/>
              </w:rPr>
              <w:t xml:space="preserve">destinate pentru </w:t>
            </w:r>
            <w:proofErr w:type="spellStart"/>
            <w:r w:rsidRPr="00346CE4">
              <w:rPr>
                <w:bCs/>
                <w:sz w:val="24"/>
                <w:szCs w:val="24"/>
              </w:rPr>
              <w:t>comunicaţii</w:t>
            </w:r>
            <w:proofErr w:type="spellEnd"/>
            <w:r w:rsidRPr="00346CE4">
              <w:rPr>
                <w:bCs/>
                <w:sz w:val="24"/>
                <w:szCs w:val="24"/>
              </w:rPr>
              <w:t xml:space="preserve"> mobile de voce </w:t>
            </w:r>
            <w:proofErr w:type="spellStart"/>
            <w:r w:rsidRPr="00346CE4">
              <w:rPr>
                <w:bCs/>
                <w:sz w:val="24"/>
                <w:szCs w:val="24"/>
              </w:rPr>
              <w:t>şi</w:t>
            </w:r>
            <w:proofErr w:type="spellEnd"/>
            <w:r w:rsidRPr="00346CE4">
              <w:rPr>
                <w:bCs/>
                <w:sz w:val="24"/>
                <w:szCs w:val="24"/>
              </w:rPr>
              <w:t xml:space="preserve"> Internet în bandă largă</w:t>
            </w:r>
          </w:p>
          <w:p w:rsidR="00346CE4" w:rsidRPr="00346CE4" w:rsidRDefault="00346CE4" w:rsidP="00346CE4">
            <w:pPr>
              <w:tabs>
                <w:tab w:val="left" w:pos="1134"/>
              </w:tabs>
              <w:ind w:firstLine="0"/>
              <w:rPr>
                <w:i/>
                <w:sz w:val="24"/>
                <w:szCs w:val="24"/>
              </w:rPr>
            </w:pPr>
            <w:r w:rsidRPr="00346CE4">
              <w:rPr>
                <w:bCs/>
                <w:sz w:val="24"/>
                <w:szCs w:val="24"/>
              </w:rPr>
              <w:t>(</w:t>
            </w:r>
            <w:r w:rsidRPr="00346CE4">
              <w:rPr>
                <w:sz w:val="24"/>
                <w:szCs w:val="24"/>
                <w:lang w:eastAsia="ro-RO"/>
              </w:rPr>
              <w:t>Vodafone România S.A., expiră 5 aprilie 2029</w:t>
            </w:r>
            <w:r w:rsidRPr="00346CE4">
              <w:rPr>
                <w:bCs/>
                <w:sz w:val="24"/>
                <w:szCs w:val="24"/>
              </w:rPr>
              <w:t>)</w:t>
            </w:r>
          </w:p>
        </w:tc>
        <w:tc>
          <w:tcPr>
            <w:tcW w:w="1189" w:type="pct"/>
          </w:tcPr>
          <w:p w:rsidR="00346CE4" w:rsidRPr="00346CE4" w:rsidRDefault="00346CE4" w:rsidP="00346CE4">
            <w:pPr>
              <w:ind w:firstLine="0"/>
              <w:rPr>
                <w:sz w:val="24"/>
                <w:szCs w:val="24"/>
              </w:rPr>
            </w:pPr>
            <w:r w:rsidRPr="00346CE4">
              <w:rPr>
                <w:sz w:val="24"/>
                <w:szCs w:val="24"/>
              </w:rPr>
              <w:t>Sunt posibile interferențe în zonele din proximitatea hotarelor de est ale Republicii Moldova, în cazul utilizării aranjamentelor de canale nearmonizate cu CEPT de către operatorul din raioanele de est ale Republicii Moldova</w:t>
            </w:r>
          </w:p>
        </w:tc>
      </w:tr>
      <w:tr w:rsidR="00346CE4" w:rsidRPr="00346CE4" w:rsidTr="0068170A">
        <w:trPr>
          <w:trHeight w:val="841"/>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4.</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1427-1518</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Conform notei RR 5.342, banda de frecvențe 1429-1535 MHz este utilizată de stații din cadrul serviciului mobil aeronautic, cu statut primar, exclusiv pentru scopuri de </w:t>
            </w:r>
            <w:r w:rsidRPr="00346CE4">
              <w:rPr>
                <w:rStyle w:val="highlight"/>
                <w:sz w:val="24"/>
                <w:szCs w:val="24"/>
              </w:rPr>
              <w:t>telemetr</w:t>
            </w:r>
            <w:r w:rsidRPr="00346CE4">
              <w:rPr>
                <w:sz w:val="24"/>
                <w:szCs w:val="24"/>
              </w:rPr>
              <w:t>ie aeronautică în cadrul teritoriului național</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Se preconizează a fi </w:t>
            </w:r>
            <w:r w:rsidRPr="00346CE4">
              <w:rPr>
                <w:bCs/>
                <w:sz w:val="24"/>
                <w:szCs w:val="24"/>
              </w:rPr>
              <w:t xml:space="preserve">destinată pentru </w:t>
            </w:r>
            <w:proofErr w:type="spellStart"/>
            <w:r w:rsidRPr="00346CE4">
              <w:rPr>
                <w:bCs/>
                <w:sz w:val="24"/>
                <w:szCs w:val="24"/>
              </w:rPr>
              <w:t>comunicaţii</w:t>
            </w:r>
            <w:proofErr w:type="spellEnd"/>
            <w:r w:rsidRPr="00346CE4">
              <w:rPr>
                <w:bCs/>
                <w:sz w:val="24"/>
                <w:szCs w:val="24"/>
              </w:rPr>
              <w:t xml:space="preserve"> mobile de bandă largă SDL </w:t>
            </w:r>
          </w:p>
        </w:tc>
        <w:tc>
          <w:tcPr>
            <w:tcW w:w="1189" w:type="pct"/>
          </w:tcPr>
          <w:p w:rsidR="00346CE4" w:rsidRPr="00346CE4" w:rsidRDefault="00346CE4" w:rsidP="00346CE4">
            <w:pPr>
              <w:tabs>
                <w:tab w:val="left" w:pos="1134"/>
              </w:tabs>
              <w:ind w:firstLine="0"/>
              <w:rPr>
                <w:sz w:val="24"/>
                <w:szCs w:val="24"/>
              </w:rPr>
            </w:pPr>
            <w:r w:rsidRPr="00346CE4">
              <w:rPr>
                <w:sz w:val="24"/>
                <w:szCs w:val="24"/>
              </w:rPr>
              <w:t xml:space="preserve">Anumite limitări referitor la nivelul intensității câmpului electromagnetic la hotar cu Ucraina vor fi aplicabile în scopul protejării stațiilor din cadrul serviciului de telemetrie aeronautică </w:t>
            </w:r>
          </w:p>
        </w:tc>
      </w:tr>
      <w:tr w:rsidR="00346CE4" w:rsidRPr="00346CE4" w:rsidTr="0068170A">
        <w:trPr>
          <w:trHeight w:val="1177"/>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lastRenderedPageBreak/>
              <w:t>5.</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1920-1980,</w:t>
            </w:r>
          </w:p>
          <w:p w:rsidR="00346CE4" w:rsidRPr="00346CE4" w:rsidRDefault="00346CE4" w:rsidP="00346CE4">
            <w:pPr>
              <w:tabs>
                <w:tab w:val="left" w:pos="1134"/>
              </w:tabs>
              <w:ind w:firstLine="0"/>
              <w:rPr>
                <w:b/>
                <w:sz w:val="24"/>
                <w:szCs w:val="24"/>
              </w:rPr>
            </w:pPr>
            <w:r w:rsidRPr="00346CE4">
              <w:rPr>
                <w:b/>
                <w:sz w:val="24"/>
                <w:szCs w:val="24"/>
              </w:rPr>
              <w:t>2110-2170</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FDD: </w:t>
            </w:r>
          </w:p>
          <w:p w:rsidR="00346CE4" w:rsidRPr="00346CE4" w:rsidRDefault="00346CE4" w:rsidP="00346CE4">
            <w:pPr>
              <w:tabs>
                <w:tab w:val="left" w:pos="1134"/>
              </w:tabs>
              <w:ind w:firstLine="0"/>
              <w:rPr>
                <w:sz w:val="24"/>
                <w:szCs w:val="24"/>
              </w:rPr>
            </w:pPr>
            <w:proofErr w:type="spellStart"/>
            <w:r w:rsidRPr="00346CE4">
              <w:rPr>
                <w:sz w:val="24"/>
                <w:szCs w:val="24"/>
              </w:rPr>
              <w:t>Licenţe</w:t>
            </w:r>
            <w:proofErr w:type="spellEnd"/>
            <w:r w:rsidRPr="00346CE4">
              <w:rPr>
                <w:sz w:val="24"/>
                <w:szCs w:val="24"/>
              </w:rPr>
              <w:t xml:space="preserve"> IMT către 4 operatori (expiră în 2030)</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FDD: </w:t>
            </w:r>
          </w:p>
          <w:p w:rsidR="00346CE4" w:rsidRPr="00346CE4" w:rsidRDefault="00346CE4" w:rsidP="00346CE4">
            <w:pPr>
              <w:tabs>
                <w:tab w:val="left" w:pos="1134"/>
              </w:tabs>
              <w:ind w:firstLine="0"/>
              <w:rPr>
                <w:sz w:val="24"/>
                <w:szCs w:val="24"/>
              </w:rPr>
            </w:pPr>
            <w:proofErr w:type="spellStart"/>
            <w:r w:rsidRPr="00346CE4">
              <w:rPr>
                <w:sz w:val="24"/>
                <w:szCs w:val="24"/>
              </w:rPr>
              <w:t>Licenţe</w:t>
            </w:r>
            <w:proofErr w:type="spellEnd"/>
            <w:r w:rsidRPr="00346CE4">
              <w:rPr>
                <w:sz w:val="24"/>
                <w:szCs w:val="24"/>
              </w:rPr>
              <w:t xml:space="preserve"> IMT către 4 operatori</w:t>
            </w:r>
          </w:p>
          <w:p w:rsidR="00346CE4" w:rsidRPr="00346CE4" w:rsidRDefault="00346CE4" w:rsidP="00346CE4">
            <w:pPr>
              <w:tabs>
                <w:tab w:val="left" w:pos="1134"/>
              </w:tabs>
              <w:ind w:firstLine="0"/>
              <w:rPr>
                <w:sz w:val="24"/>
                <w:szCs w:val="24"/>
              </w:rPr>
            </w:pPr>
            <w:r w:rsidRPr="00346CE4">
              <w:rPr>
                <w:sz w:val="24"/>
                <w:szCs w:val="24"/>
              </w:rPr>
              <w:t>(expiră în 2020-2022)</w:t>
            </w:r>
          </w:p>
        </w:tc>
        <w:tc>
          <w:tcPr>
            <w:tcW w:w="1189" w:type="pct"/>
          </w:tcPr>
          <w:p w:rsidR="00346CE4" w:rsidRPr="00346CE4" w:rsidRDefault="00346CE4" w:rsidP="00346CE4">
            <w:pPr>
              <w:tabs>
                <w:tab w:val="left" w:pos="1134"/>
              </w:tabs>
              <w:ind w:firstLine="0"/>
              <w:rPr>
                <w:sz w:val="24"/>
                <w:szCs w:val="24"/>
              </w:rPr>
            </w:pPr>
            <w:r w:rsidRPr="00346CE4">
              <w:rPr>
                <w:sz w:val="24"/>
                <w:szCs w:val="24"/>
              </w:rPr>
              <w:t>Nu au fost identificate riscuri de compatibilitate electromagnetică sau limitări la implementare</w:t>
            </w:r>
          </w:p>
        </w:tc>
      </w:tr>
      <w:tr w:rsidR="00346CE4" w:rsidRPr="00346CE4" w:rsidTr="0068170A">
        <w:trPr>
          <w:trHeight w:val="981"/>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6.</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1980-2010/ 2170-2200</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Comunicații fixe/mobile</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MSS, inclusiv CGC</w:t>
            </w:r>
            <w:r w:rsidRPr="00346CE4" w:rsidDel="00937C72">
              <w:rPr>
                <w:sz w:val="24"/>
                <w:szCs w:val="24"/>
              </w:rPr>
              <w:t xml:space="preserve"> </w:t>
            </w:r>
            <w:r w:rsidRPr="00346CE4">
              <w:rPr>
                <w:sz w:val="24"/>
                <w:szCs w:val="24"/>
              </w:rPr>
              <w:t>conform Deciziei Comisiei Europene</w:t>
            </w:r>
          </w:p>
        </w:tc>
        <w:tc>
          <w:tcPr>
            <w:tcW w:w="1189" w:type="pct"/>
          </w:tcPr>
          <w:p w:rsidR="00346CE4" w:rsidRPr="00346CE4" w:rsidRDefault="00346CE4" w:rsidP="00346CE4">
            <w:pPr>
              <w:tabs>
                <w:tab w:val="left" w:pos="1134"/>
              </w:tabs>
              <w:ind w:firstLine="0"/>
              <w:rPr>
                <w:sz w:val="24"/>
                <w:szCs w:val="24"/>
              </w:rPr>
            </w:pPr>
            <w:r w:rsidRPr="00346CE4">
              <w:rPr>
                <w:sz w:val="24"/>
                <w:szCs w:val="24"/>
              </w:rPr>
              <w:t>Nu au fost identificate riscuri de compatibilitate electromagnetică sau limitări la implementare</w:t>
            </w:r>
          </w:p>
        </w:tc>
      </w:tr>
      <w:tr w:rsidR="00346CE4" w:rsidRPr="00346CE4" w:rsidTr="0068170A">
        <w:trPr>
          <w:trHeight w:val="703"/>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7.</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bCs/>
                <w:sz w:val="24"/>
                <w:szCs w:val="24"/>
              </w:rPr>
              <w:t>2300-2400</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Banda este atribuită pentru serviciile de exploatare </w:t>
            </w:r>
            <w:proofErr w:type="spellStart"/>
            <w:r w:rsidRPr="00346CE4">
              <w:rPr>
                <w:sz w:val="24"/>
                <w:szCs w:val="24"/>
              </w:rPr>
              <w:t>spaţială</w:t>
            </w:r>
            <w:proofErr w:type="spellEnd"/>
            <w:r w:rsidRPr="00346CE4">
              <w:rPr>
                <w:sz w:val="24"/>
                <w:szCs w:val="24"/>
              </w:rPr>
              <w:t xml:space="preserve">, fixă </w:t>
            </w:r>
            <w:proofErr w:type="spellStart"/>
            <w:r w:rsidRPr="00346CE4">
              <w:rPr>
                <w:sz w:val="24"/>
                <w:szCs w:val="24"/>
              </w:rPr>
              <w:t>şi</w:t>
            </w:r>
            <w:proofErr w:type="spellEnd"/>
            <w:r w:rsidRPr="00346CE4">
              <w:rPr>
                <w:sz w:val="24"/>
                <w:szCs w:val="24"/>
              </w:rPr>
              <w:t xml:space="preserve"> mobilă</w:t>
            </w:r>
          </w:p>
          <w:p w:rsidR="00346CE4" w:rsidRPr="00346CE4" w:rsidRDefault="00346CE4" w:rsidP="00346CE4">
            <w:pPr>
              <w:tabs>
                <w:tab w:val="left" w:pos="1134"/>
              </w:tabs>
              <w:ind w:firstLine="0"/>
              <w:rPr>
                <w:sz w:val="24"/>
                <w:szCs w:val="24"/>
              </w:rPr>
            </w:pPr>
          </w:p>
          <w:p w:rsidR="00346CE4" w:rsidRPr="00346CE4" w:rsidRDefault="00346CE4" w:rsidP="00346CE4">
            <w:pPr>
              <w:tabs>
                <w:tab w:val="left" w:pos="1134"/>
              </w:tabs>
              <w:ind w:firstLine="0"/>
              <w:rPr>
                <w:sz w:val="24"/>
                <w:szCs w:val="24"/>
              </w:rPr>
            </w:pPr>
            <w:r w:rsidRPr="00346CE4">
              <w:rPr>
                <w:sz w:val="24"/>
                <w:szCs w:val="24"/>
              </w:rPr>
              <w:t>Preconizată utilizarea MFCN</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Banda este destinată pentru telemetrie aeronautică, </w:t>
            </w:r>
            <w:proofErr w:type="spellStart"/>
            <w:r w:rsidRPr="00346CE4">
              <w:rPr>
                <w:sz w:val="24"/>
                <w:szCs w:val="24"/>
              </w:rPr>
              <w:t>aplicaţii</w:t>
            </w:r>
            <w:proofErr w:type="spellEnd"/>
            <w:r w:rsidRPr="00346CE4">
              <w:rPr>
                <w:sz w:val="24"/>
                <w:szCs w:val="24"/>
              </w:rPr>
              <w:t xml:space="preserve"> amator, </w:t>
            </w:r>
            <w:proofErr w:type="spellStart"/>
            <w:r w:rsidRPr="00346CE4">
              <w:rPr>
                <w:sz w:val="24"/>
                <w:szCs w:val="24"/>
              </w:rPr>
              <w:t>aplicaţii</w:t>
            </w:r>
            <w:proofErr w:type="spellEnd"/>
            <w:r w:rsidRPr="00346CE4">
              <w:rPr>
                <w:sz w:val="24"/>
                <w:szCs w:val="24"/>
              </w:rPr>
              <w:t xml:space="preserve"> mobile, SAP/SAB, sisteme MMDS, </w:t>
            </w:r>
            <w:proofErr w:type="spellStart"/>
            <w:r w:rsidRPr="00346CE4">
              <w:rPr>
                <w:sz w:val="24"/>
                <w:szCs w:val="24"/>
              </w:rPr>
              <w:t>aplicaţii</w:t>
            </w:r>
            <w:proofErr w:type="spellEnd"/>
            <w:r w:rsidRPr="00346CE4">
              <w:rPr>
                <w:sz w:val="24"/>
                <w:szCs w:val="24"/>
              </w:rPr>
              <w:t xml:space="preserve"> în bandă ultralargă. Banda 2335-2400 MHz se utilizează în partaj cu sistemele militare</w:t>
            </w:r>
          </w:p>
        </w:tc>
        <w:tc>
          <w:tcPr>
            <w:tcW w:w="1189" w:type="pct"/>
          </w:tcPr>
          <w:p w:rsidR="00346CE4" w:rsidRPr="00346CE4" w:rsidRDefault="00346CE4" w:rsidP="00346CE4">
            <w:pPr>
              <w:tabs>
                <w:tab w:val="left" w:pos="1134"/>
              </w:tabs>
              <w:ind w:firstLine="0"/>
              <w:rPr>
                <w:sz w:val="24"/>
                <w:szCs w:val="24"/>
              </w:rPr>
            </w:pPr>
            <w:r w:rsidRPr="00346CE4">
              <w:rPr>
                <w:sz w:val="24"/>
                <w:szCs w:val="24"/>
              </w:rPr>
              <w:t>Ar putea fi necesar un aranjament de coordonare transfrontalieră dintre MFCN și alte servicii</w:t>
            </w:r>
            <w:r w:rsidRPr="00346CE4" w:rsidDel="00B7168C">
              <w:rPr>
                <w:sz w:val="24"/>
                <w:szCs w:val="24"/>
              </w:rPr>
              <w:t xml:space="preserve"> </w:t>
            </w:r>
          </w:p>
        </w:tc>
      </w:tr>
      <w:tr w:rsidR="00346CE4" w:rsidRPr="00346CE4" w:rsidTr="0068170A">
        <w:trPr>
          <w:trHeight w:val="2782"/>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8.</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2500-2690</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TDD (</w:t>
            </w:r>
            <w:r w:rsidRPr="00346CE4">
              <w:rPr>
                <w:sz w:val="24"/>
                <w:szCs w:val="24"/>
                <w:lang w:eastAsia="ro-RO"/>
              </w:rPr>
              <w:t>2570-2620 MHz</w:t>
            </w:r>
            <w:r w:rsidRPr="00346CE4">
              <w:rPr>
                <w:sz w:val="24"/>
                <w:szCs w:val="24"/>
              </w:rPr>
              <w:t>): nu există informație</w:t>
            </w:r>
          </w:p>
          <w:p w:rsidR="00346CE4" w:rsidRPr="00346CE4" w:rsidRDefault="00346CE4" w:rsidP="00346CE4">
            <w:pPr>
              <w:tabs>
                <w:tab w:val="left" w:pos="1134"/>
              </w:tabs>
              <w:ind w:firstLine="0"/>
              <w:rPr>
                <w:sz w:val="24"/>
                <w:szCs w:val="24"/>
                <w:lang w:eastAsia="ro-RO"/>
              </w:rPr>
            </w:pPr>
          </w:p>
          <w:p w:rsidR="00346CE4" w:rsidRPr="00346CE4" w:rsidRDefault="00346CE4" w:rsidP="00346CE4">
            <w:pPr>
              <w:tabs>
                <w:tab w:val="left" w:pos="1134"/>
              </w:tabs>
              <w:ind w:firstLine="0"/>
              <w:rPr>
                <w:sz w:val="24"/>
                <w:szCs w:val="24"/>
              </w:rPr>
            </w:pPr>
            <w:r w:rsidRPr="00346CE4">
              <w:rPr>
                <w:sz w:val="24"/>
                <w:szCs w:val="24"/>
                <w:lang w:eastAsia="ro-RO"/>
              </w:rPr>
              <w:t xml:space="preserve">FDD: </w:t>
            </w:r>
            <w:r w:rsidRPr="00346CE4">
              <w:rPr>
                <w:sz w:val="24"/>
                <w:szCs w:val="24"/>
              </w:rPr>
              <w:t xml:space="preserve">Licențe IMT către 4 operatori </w:t>
            </w:r>
            <w:r w:rsidRPr="00346CE4">
              <w:rPr>
                <w:sz w:val="24"/>
                <w:szCs w:val="24"/>
              </w:rPr>
              <w:br/>
              <w:t xml:space="preserve">(expiră </w:t>
            </w:r>
            <w:r w:rsidRPr="00346CE4">
              <w:rPr>
                <w:sz w:val="24"/>
                <w:szCs w:val="24"/>
                <w:lang w:eastAsia="ro-RO"/>
              </w:rPr>
              <w:t>6 martie 2033</w:t>
            </w:r>
            <w:r w:rsidRPr="00346CE4">
              <w:rPr>
                <w:sz w:val="24"/>
                <w:szCs w:val="24"/>
              </w:rPr>
              <w:t>)</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TDD (</w:t>
            </w:r>
            <w:r w:rsidRPr="00346CE4">
              <w:rPr>
                <w:sz w:val="24"/>
                <w:szCs w:val="24"/>
                <w:lang w:eastAsia="ro-RO"/>
              </w:rPr>
              <w:t>2570-2620 MHz</w:t>
            </w:r>
            <w:r w:rsidRPr="00346CE4">
              <w:rPr>
                <w:sz w:val="24"/>
                <w:szCs w:val="24"/>
              </w:rPr>
              <w:t>): Licențe IMT către 2 operatori.</w:t>
            </w:r>
          </w:p>
          <w:p w:rsidR="00346CE4" w:rsidRPr="00346CE4" w:rsidRDefault="00346CE4" w:rsidP="00346CE4">
            <w:pPr>
              <w:tabs>
                <w:tab w:val="left" w:pos="1134"/>
              </w:tabs>
              <w:ind w:firstLine="0"/>
              <w:rPr>
                <w:sz w:val="24"/>
                <w:szCs w:val="24"/>
              </w:rPr>
            </w:pPr>
          </w:p>
          <w:p w:rsidR="00346CE4" w:rsidRPr="00346CE4" w:rsidRDefault="00346CE4" w:rsidP="00346CE4">
            <w:pPr>
              <w:tabs>
                <w:tab w:val="left" w:pos="1134"/>
              </w:tabs>
              <w:ind w:firstLine="0"/>
              <w:rPr>
                <w:sz w:val="24"/>
                <w:szCs w:val="24"/>
              </w:rPr>
            </w:pPr>
            <w:r w:rsidRPr="00346CE4">
              <w:rPr>
                <w:sz w:val="24"/>
                <w:szCs w:val="24"/>
              </w:rPr>
              <w:t xml:space="preserve">FDD: Licențe IMT către 2 operatori (expiră </w:t>
            </w:r>
            <w:r w:rsidRPr="00346CE4">
              <w:rPr>
                <w:sz w:val="24"/>
                <w:szCs w:val="24"/>
                <w:lang w:eastAsia="ro-RO"/>
              </w:rPr>
              <w:t>5 aprilie 2029</w:t>
            </w:r>
            <w:r w:rsidRPr="00346CE4">
              <w:rPr>
                <w:sz w:val="24"/>
                <w:szCs w:val="24"/>
              </w:rPr>
              <w:t>).</w:t>
            </w:r>
          </w:p>
          <w:p w:rsidR="00346CE4" w:rsidRPr="00346CE4" w:rsidRDefault="00346CE4" w:rsidP="00346CE4">
            <w:pPr>
              <w:tabs>
                <w:tab w:val="left" w:pos="1134"/>
              </w:tabs>
              <w:ind w:firstLine="0"/>
              <w:rPr>
                <w:sz w:val="24"/>
                <w:szCs w:val="24"/>
              </w:rPr>
            </w:pPr>
            <w:r w:rsidRPr="00346CE4">
              <w:rPr>
                <w:sz w:val="24"/>
                <w:szCs w:val="24"/>
              </w:rPr>
              <w:t>Spectrul neadjudecat va fi expus pentru licitație în anul 2020</w:t>
            </w:r>
          </w:p>
        </w:tc>
        <w:tc>
          <w:tcPr>
            <w:tcW w:w="1189" w:type="pct"/>
          </w:tcPr>
          <w:p w:rsidR="00346CE4" w:rsidRPr="00346CE4" w:rsidRDefault="00346CE4" w:rsidP="00346CE4">
            <w:pPr>
              <w:tabs>
                <w:tab w:val="left" w:pos="1134"/>
              </w:tabs>
              <w:ind w:firstLine="0"/>
              <w:rPr>
                <w:sz w:val="24"/>
                <w:szCs w:val="24"/>
              </w:rPr>
            </w:pPr>
            <w:r w:rsidRPr="00346CE4">
              <w:rPr>
                <w:sz w:val="24"/>
                <w:szCs w:val="24"/>
              </w:rPr>
              <w:t>Nu au fost identificate riscuri de compatibilitate electromagnetică.</w:t>
            </w:r>
          </w:p>
          <w:p w:rsidR="00346CE4" w:rsidRPr="00346CE4" w:rsidRDefault="00346CE4" w:rsidP="00346CE4">
            <w:pPr>
              <w:tabs>
                <w:tab w:val="left" w:pos="1134"/>
              </w:tabs>
              <w:ind w:firstLine="0"/>
              <w:rPr>
                <w:sz w:val="24"/>
                <w:szCs w:val="24"/>
              </w:rPr>
            </w:pPr>
            <w:r w:rsidRPr="00346CE4">
              <w:rPr>
                <w:sz w:val="24"/>
                <w:szCs w:val="24"/>
              </w:rPr>
              <w:t>Unele limitări de implementare sunt posibile datorită utilizării neautorizate a benzii de către rețelele MMDS în raioanele de est ale Republicii Moldova</w:t>
            </w:r>
          </w:p>
        </w:tc>
      </w:tr>
      <w:tr w:rsidR="00346CE4" w:rsidRPr="00346CE4" w:rsidTr="0068170A">
        <w:trPr>
          <w:trHeight w:val="3681"/>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9.</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3400-3800</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 xml:space="preserve">Conform Deciziei nr. 529 din 12 noiembrie 2019 a Comisiei Naționale de Reglementare în Comunicații a Ucrainei </w:t>
            </w:r>
          </w:p>
          <w:p w:rsidR="00346CE4" w:rsidRPr="00346CE4" w:rsidRDefault="00346CE4" w:rsidP="00346CE4">
            <w:pPr>
              <w:tabs>
                <w:tab w:val="left" w:pos="1134"/>
              </w:tabs>
              <w:ind w:firstLine="0"/>
              <w:rPr>
                <w:sz w:val="24"/>
                <w:szCs w:val="24"/>
              </w:rPr>
            </w:pPr>
            <w:r w:rsidRPr="00346CE4">
              <w:rPr>
                <w:sz w:val="24"/>
                <w:szCs w:val="24"/>
              </w:rPr>
              <w:t>(CNRC) banda 3400-3600 MHz a fost desemnată pentru implementarea comunicațiilor de bandă largă.</w:t>
            </w:r>
          </w:p>
          <w:p w:rsidR="00346CE4" w:rsidRPr="00346CE4" w:rsidRDefault="00346CE4" w:rsidP="00346CE4">
            <w:pPr>
              <w:tabs>
                <w:tab w:val="left" w:pos="1134"/>
              </w:tabs>
              <w:ind w:firstLine="0"/>
              <w:rPr>
                <w:sz w:val="24"/>
                <w:szCs w:val="24"/>
              </w:rPr>
            </w:pPr>
            <w:r w:rsidRPr="00346CE4">
              <w:rPr>
                <w:sz w:val="24"/>
                <w:szCs w:val="24"/>
              </w:rPr>
              <w:t xml:space="preserve">Prin Decizia nr. 650 din 18 decembrie 2018 a CNRC a </w:t>
            </w:r>
            <w:r w:rsidRPr="00346CE4">
              <w:rPr>
                <w:sz w:val="24"/>
                <w:szCs w:val="24"/>
              </w:rPr>
              <w:lastRenderedPageBreak/>
              <w:t xml:space="preserve">desemnat banda 3600-3700 MHz unui operator (prelungirea licenței) pentru acces radio </w:t>
            </w:r>
            <w:proofErr w:type="spellStart"/>
            <w:r w:rsidRPr="00346CE4">
              <w:rPr>
                <w:sz w:val="24"/>
                <w:szCs w:val="24"/>
              </w:rPr>
              <w:t>multiserviciu</w:t>
            </w:r>
            <w:proofErr w:type="spellEnd"/>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lastRenderedPageBreak/>
              <w:t>Utilizată parțial de către rețele de comunicații mobile de bandă largă.</w:t>
            </w:r>
          </w:p>
          <w:p w:rsidR="00346CE4" w:rsidRPr="00346CE4" w:rsidRDefault="00346CE4" w:rsidP="00346CE4">
            <w:pPr>
              <w:tabs>
                <w:tab w:val="left" w:pos="1134"/>
              </w:tabs>
              <w:ind w:firstLine="0"/>
              <w:rPr>
                <w:bCs/>
                <w:sz w:val="24"/>
                <w:szCs w:val="24"/>
              </w:rPr>
            </w:pPr>
            <w:r w:rsidRPr="00346CE4">
              <w:rPr>
                <w:sz w:val="24"/>
                <w:szCs w:val="24"/>
              </w:rPr>
              <w:t xml:space="preserve">Se preconizează a fi </w:t>
            </w:r>
            <w:r w:rsidRPr="00346CE4">
              <w:rPr>
                <w:bCs/>
                <w:sz w:val="24"/>
                <w:szCs w:val="24"/>
              </w:rPr>
              <w:t xml:space="preserve">utilizată integral de către </w:t>
            </w:r>
            <w:r w:rsidRPr="00346CE4">
              <w:rPr>
                <w:sz w:val="24"/>
                <w:szCs w:val="24"/>
              </w:rPr>
              <w:t>sistemele terestre capabile să furnizeze servicii de comunicații electronice pe suport radio în bandă largă</w:t>
            </w:r>
            <w:r w:rsidRPr="00346CE4">
              <w:rPr>
                <w:bCs/>
                <w:sz w:val="24"/>
                <w:szCs w:val="24"/>
              </w:rPr>
              <w:t>.</w:t>
            </w:r>
          </w:p>
          <w:p w:rsidR="00346CE4" w:rsidRPr="00346CE4" w:rsidRDefault="00346CE4" w:rsidP="00346CE4">
            <w:pPr>
              <w:tabs>
                <w:tab w:val="left" w:pos="1134"/>
              </w:tabs>
              <w:ind w:firstLine="0"/>
              <w:rPr>
                <w:sz w:val="24"/>
                <w:szCs w:val="24"/>
              </w:rPr>
            </w:pPr>
            <w:r w:rsidRPr="00346CE4">
              <w:rPr>
                <w:sz w:val="24"/>
                <w:szCs w:val="24"/>
              </w:rPr>
              <w:t>Începând cu 1 ianuarie 2020 disponibil numai aranjamentul de tip TDD</w:t>
            </w:r>
          </w:p>
        </w:tc>
        <w:tc>
          <w:tcPr>
            <w:tcW w:w="1189" w:type="pct"/>
          </w:tcPr>
          <w:p w:rsidR="00346CE4" w:rsidRPr="00346CE4" w:rsidRDefault="00346CE4" w:rsidP="00346CE4">
            <w:pPr>
              <w:tabs>
                <w:tab w:val="left" w:pos="1134"/>
              </w:tabs>
              <w:ind w:firstLine="0"/>
              <w:rPr>
                <w:sz w:val="24"/>
                <w:szCs w:val="24"/>
              </w:rPr>
            </w:pPr>
            <w:r w:rsidRPr="00346CE4">
              <w:rPr>
                <w:sz w:val="24"/>
                <w:szCs w:val="24"/>
              </w:rPr>
              <w:t>Nu au fost identificate riscuri de compatibilitate electromagnetică sau limitări specifice la implementare</w:t>
            </w:r>
          </w:p>
        </w:tc>
      </w:tr>
      <w:tr w:rsidR="00346CE4" w:rsidRPr="00346CE4" w:rsidTr="0068170A">
        <w:trPr>
          <w:trHeight w:val="2121"/>
        </w:trPr>
        <w:tc>
          <w:tcPr>
            <w:tcW w:w="336"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lastRenderedPageBreak/>
              <w:t>10.</w:t>
            </w:r>
          </w:p>
        </w:tc>
        <w:tc>
          <w:tcPr>
            <w:tcW w:w="751" w:type="pct"/>
            <w:shd w:val="clear" w:color="auto" w:fill="auto"/>
            <w:vAlign w:val="center"/>
          </w:tcPr>
          <w:p w:rsidR="00346CE4" w:rsidRPr="00346CE4" w:rsidRDefault="00346CE4" w:rsidP="00346CE4">
            <w:pPr>
              <w:tabs>
                <w:tab w:val="left" w:pos="1134"/>
              </w:tabs>
              <w:ind w:firstLine="0"/>
              <w:rPr>
                <w:b/>
                <w:sz w:val="24"/>
                <w:szCs w:val="24"/>
              </w:rPr>
            </w:pPr>
            <w:r w:rsidRPr="00346CE4">
              <w:rPr>
                <w:b/>
                <w:sz w:val="24"/>
                <w:szCs w:val="24"/>
              </w:rPr>
              <w:t>24,5-27,25 GHz</w:t>
            </w:r>
          </w:p>
        </w:tc>
        <w:tc>
          <w:tcPr>
            <w:tcW w:w="1261" w:type="pct"/>
            <w:shd w:val="clear" w:color="auto" w:fill="auto"/>
          </w:tcPr>
          <w:p w:rsidR="00346CE4" w:rsidRPr="00346CE4" w:rsidRDefault="00346CE4" w:rsidP="00346CE4">
            <w:pPr>
              <w:tabs>
                <w:tab w:val="left" w:pos="1134"/>
              </w:tabs>
              <w:ind w:firstLine="0"/>
              <w:rPr>
                <w:sz w:val="24"/>
                <w:szCs w:val="24"/>
              </w:rPr>
            </w:pPr>
            <w:r w:rsidRPr="00346CE4">
              <w:rPr>
                <w:sz w:val="24"/>
                <w:szCs w:val="24"/>
              </w:rPr>
              <w:t>Utilizare limitată de către serviciul fix.</w:t>
            </w:r>
          </w:p>
          <w:p w:rsidR="00346CE4" w:rsidRPr="00346CE4" w:rsidRDefault="00346CE4" w:rsidP="00346CE4">
            <w:pPr>
              <w:tabs>
                <w:tab w:val="left" w:pos="1134"/>
              </w:tabs>
              <w:ind w:firstLine="0"/>
              <w:rPr>
                <w:sz w:val="24"/>
                <w:szCs w:val="24"/>
              </w:rPr>
            </w:pPr>
            <w:r w:rsidRPr="00346CE4">
              <w:rPr>
                <w:sz w:val="24"/>
                <w:szCs w:val="24"/>
              </w:rPr>
              <w:t>Posibil va fi destinată</w:t>
            </w:r>
            <w:r w:rsidRPr="00346CE4">
              <w:rPr>
                <w:bCs/>
                <w:sz w:val="24"/>
                <w:szCs w:val="24"/>
              </w:rPr>
              <w:t xml:space="preserve"> pentru </w:t>
            </w:r>
            <w:r w:rsidRPr="00346CE4">
              <w:rPr>
                <w:sz w:val="24"/>
                <w:szCs w:val="24"/>
              </w:rPr>
              <w:t>sistemele terestre capabile să furnizeze servicii de comunicații electronice pe suport radio în bandă largă</w:t>
            </w:r>
          </w:p>
        </w:tc>
        <w:tc>
          <w:tcPr>
            <w:tcW w:w="1463" w:type="pct"/>
            <w:shd w:val="clear" w:color="auto" w:fill="auto"/>
          </w:tcPr>
          <w:p w:rsidR="00346CE4" w:rsidRPr="00346CE4" w:rsidRDefault="00346CE4" w:rsidP="00346CE4">
            <w:pPr>
              <w:tabs>
                <w:tab w:val="left" w:pos="1134"/>
              </w:tabs>
              <w:ind w:firstLine="0"/>
              <w:rPr>
                <w:sz w:val="24"/>
                <w:szCs w:val="24"/>
              </w:rPr>
            </w:pPr>
            <w:r w:rsidRPr="00346CE4">
              <w:rPr>
                <w:sz w:val="24"/>
                <w:szCs w:val="24"/>
              </w:rPr>
              <w:t>Serviciul fix. Se preconizează a fi destinată</w:t>
            </w:r>
            <w:r w:rsidRPr="00346CE4">
              <w:rPr>
                <w:bCs/>
                <w:sz w:val="24"/>
                <w:szCs w:val="24"/>
              </w:rPr>
              <w:t xml:space="preserve"> pentru </w:t>
            </w:r>
            <w:r w:rsidRPr="00346CE4">
              <w:rPr>
                <w:sz w:val="24"/>
                <w:szCs w:val="24"/>
              </w:rPr>
              <w:t>sistemele terestre capabile să furnizeze servicii de comunicații electronice pe suport radio în bandă largă</w:t>
            </w:r>
          </w:p>
        </w:tc>
        <w:tc>
          <w:tcPr>
            <w:tcW w:w="1189" w:type="pct"/>
          </w:tcPr>
          <w:p w:rsidR="00346CE4" w:rsidRPr="00346CE4" w:rsidRDefault="00346CE4" w:rsidP="00346CE4">
            <w:pPr>
              <w:tabs>
                <w:tab w:val="left" w:pos="1134"/>
              </w:tabs>
              <w:ind w:firstLine="0"/>
              <w:rPr>
                <w:sz w:val="24"/>
                <w:szCs w:val="24"/>
              </w:rPr>
            </w:pPr>
            <w:r w:rsidRPr="00346CE4">
              <w:rPr>
                <w:sz w:val="24"/>
                <w:szCs w:val="24"/>
              </w:rPr>
              <w:t>Nu au fost identificate riscuri de compatibilitate electromagnetică sau limitări la implementare</w:t>
            </w:r>
          </w:p>
        </w:tc>
      </w:tr>
    </w:tbl>
    <w:p w:rsidR="00346CE4" w:rsidRPr="00346CE4" w:rsidRDefault="00346CE4" w:rsidP="00346CE4">
      <w:pPr>
        <w:rPr>
          <w:sz w:val="24"/>
          <w:szCs w:val="24"/>
          <w:lang w:eastAsia="ru-RU"/>
        </w:rPr>
      </w:pPr>
    </w:p>
    <w:p w:rsidR="00346CE4" w:rsidRPr="00346CE4" w:rsidRDefault="00346CE4" w:rsidP="00346CE4">
      <w:pPr>
        <w:tabs>
          <w:tab w:val="left" w:pos="0"/>
        </w:tabs>
        <w:ind w:firstLine="0"/>
        <w:jc w:val="center"/>
        <w:rPr>
          <w:b/>
          <w:sz w:val="24"/>
          <w:szCs w:val="24"/>
        </w:rPr>
      </w:pPr>
      <w:r w:rsidRPr="00346CE4">
        <w:rPr>
          <w:b/>
          <w:sz w:val="24"/>
          <w:szCs w:val="24"/>
        </w:rPr>
        <w:t>VII. AUTORITĂȚI / INSTITUȚII RESPONSABILE</w:t>
      </w:r>
    </w:p>
    <w:p w:rsidR="00346CE4" w:rsidRPr="00346CE4" w:rsidRDefault="00346CE4" w:rsidP="00346CE4">
      <w:pPr>
        <w:tabs>
          <w:tab w:val="left" w:pos="0"/>
        </w:tabs>
        <w:rPr>
          <w:b/>
          <w:sz w:val="24"/>
          <w:szCs w:val="24"/>
        </w:rPr>
      </w:pPr>
    </w:p>
    <w:p w:rsidR="00346CE4" w:rsidRPr="00346CE4" w:rsidRDefault="00346CE4" w:rsidP="00346CE4">
      <w:pPr>
        <w:ind w:firstLine="708"/>
        <w:rPr>
          <w:sz w:val="24"/>
          <w:szCs w:val="24"/>
        </w:rPr>
      </w:pPr>
      <w:r w:rsidRPr="00346CE4">
        <w:rPr>
          <w:b/>
          <w:sz w:val="24"/>
          <w:szCs w:val="24"/>
        </w:rPr>
        <w:t>23.</w:t>
      </w:r>
      <w:r w:rsidRPr="00346CE4">
        <w:rPr>
          <w:sz w:val="24"/>
          <w:szCs w:val="24"/>
        </w:rPr>
        <w:t xml:space="preserve"> Pentru implementarea acțiunilor vor fi stabiliți responsabilii în funcție de domeniul de competență.</w:t>
      </w:r>
    </w:p>
    <w:p w:rsidR="00346CE4" w:rsidRPr="00346CE4" w:rsidRDefault="00346CE4" w:rsidP="00346CE4">
      <w:pPr>
        <w:ind w:firstLine="708"/>
        <w:rPr>
          <w:sz w:val="24"/>
          <w:szCs w:val="24"/>
        </w:rPr>
      </w:pPr>
    </w:p>
    <w:p w:rsidR="00346CE4" w:rsidRPr="00346CE4" w:rsidRDefault="00346CE4" w:rsidP="00346CE4">
      <w:pPr>
        <w:ind w:firstLine="708"/>
        <w:rPr>
          <w:sz w:val="24"/>
          <w:szCs w:val="24"/>
        </w:rPr>
      </w:pPr>
      <w:r w:rsidRPr="00346CE4">
        <w:rPr>
          <w:b/>
          <w:sz w:val="24"/>
          <w:szCs w:val="24"/>
        </w:rPr>
        <w:t>24.</w:t>
      </w:r>
      <w:r w:rsidRPr="00346CE4">
        <w:rPr>
          <w:sz w:val="24"/>
          <w:szCs w:val="24"/>
        </w:rPr>
        <w:t xml:space="preserve"> Instituțiile de stat responsabile sau instituții-partener, care contribuie la implementarea obiectivelor prezentului Program sunt:</w:t>
      </w:r>
    </w:p>
    <w:p w:rsidR="00346CE4" w:rsidRPr="00346CE4" w:rsidRDefault="00346CE4" w:rsidP="00346CE4">
      <w:pPr>
        <w:numPr>
          <w:ilvl w:val="0"/>
          <w:numId w:val="13"/>
        </w:numPr>
        <w:tabs>
          <w:tab w:val="left" w:pos="0"/>
          <w:tab w:val="left" w:pos="1134"/>
        </w:tabs>
        <w:ind w:left="0" w:firstLine="709"/>
        <w:rPr>
          <w:sz w:val="24"/>
          <w:szCs w:val="24"/>
        </w:rPr>
      </w:pPr>
      <w:r w:rsidRPr="00346CE4">
        <w:rPr>
          <w:sz w:val="24"/>
          <w:szCs w:val="24"/>
        </w:rPr>
        <w:t>Ministerul Economiei și Infrastructurii;</w:t>
      </w:r>
    </w:p>
    <w:p w:rsidR="00346CE4" w:rsidRPr="00346CE4" w:rsidRDefault="00346CE4" w:rsidP="00346CE4">
      <w:pPr>
        <w:numPr>
          <w:ilvl w:val="0"/>
          <w:numId w:val="13"/>
        </w:numPr>
        <w:tabs>
          <w:tab w:val="left" w:pos="0"/>
          <w:tab w:val="left" w:pos="1134"/>
        </w:tabs>
        <w:ind w:left="0" w:firstLine="709"/>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r w:rsidRPr="00346CE4">
        <w:rPr>
          <w:sz w:val="24"/>
          <w:szCs w:val="24"/>
        </w:rPr>
        <w:t>;</w:t>
      </w:r>
    </w:p>
    <w:p w:rsidR="00346CE4" w:rsidRPr="00346CE4" w:rsidRDefault="00346CE4" w:rsidP="00346CE4">
      <w:pPr>
        <w:numPr>
          <w:ilvl w:val="0"/>
          <w:numId w:val="13"/>
        </w:numPr>
        <w:tabs>
          <w:tab w:val="left" w:pos="0"/>
          <w:tab w:val="left" w:pos="1134"/>
        </w:tabs>
        <w:ind w:left="0" w:firstLine="709"/>
        <w:rPr>
          <w:sz w:val="24"/>
          <w:szCs w:val="24"/>
        </w:rPr>
      </w:pPr>
      <w:r w:rsidRPr="00346CE4">
        <w:rPr>
          <w:sz w:val="24"/>
          <w:szCs w:val="24"/>
        </w:rPr>
        <w:t>Ministerul Sănătății, Muncii și Protecției Sociale;</w:t>
      </w:r>
    </w:p>
    <w:p w:rsidR="00346CE4" w:rsidRPr="00346CE4" w:rsidRDefault="00346CE4" w:rsidP="00346CE4">
      <w:pPr>
        <w:numPr>
          <w:ilvl w:val="0"/>
          <w:numId w:val="13"/>
        </w:numPr>
        <w:tabs>
          <w:tab w:val="left" w:pos="0"/>
          <w:tab w:val="left" w:pos="1134"/>
        </w:tabs>
        <w:ind w:left="0" w:firstLine="709"/>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Sănătate Publică;</w:t>
      </w:r>
    </w:p>
    <w:p w:rsidR="00346CE4" w:rsidRPr="00346CE4" w:rsidRDefault="00346CE4" w:rsidP="00346CE4">
      <w:pPr>
        <w:numPr>
          <w:ilvl w:val="0"/>
          <w:numId w:val="13"/>
        </w:numPr>
        <w:tabs>
          <w:tab w:val="left" w:pos="0"/>
          <w:tab w:val="left" w:pos="1134"/>
        </w:tabs>
        <w:ind w:left="0" w:firstLine="709"/>
        <w:rPr>
          <w:sz w:val="24"/>
          <w:szCs w:val="24"/>
        </w:rPr>
      </w:pPr>
      <w:proofErr w:type="spellStart"/>
      <w:r w:rsidRPr="00346CE4">
        <w:rPr>
          <w:sz w:val="24"/>
          <w:szCs w:val="24"/>
        </w:rPr>
        <w:t>Instituţia</w:t>
      </w:r>
      <w:proofErr w:type="spellEnd"/>
      <w:r w:rsidRPr="00346CE4">
        <w:rPr>
          <w:sz w:val="24"/>
          <w:szCs w:val="24"/>
        </w:rPr>
        <w:t xml:space="preserve"> Publică ,,Serviciul Național de Management al Frecvențelor Radio”.</w:t>
      </w:r>
    </w:p>
    <w:p w:rsidR="00346CE4" w:rsidRPr="00346CE4" w:rsidRDefault="00346CE4" w:rsidP="00346CE4">
      <w:pPr>
        <w:tabs>
          <w:tab w:val="left" w:pos="0"/>
        </w:tabs>
        <w:ind w:firstLine="0"/>
        <w:rPr>
          <w:sz w:val="24"/>
          <w:szCs w:val="24"/>
        </w:rPr>
      </w:pPr>
    </w:p>
    <w:p w:rsidR="00346CE4" w:rsidRPr="00346CE4" w:rsidRDefault="00346CE4" w:rsidP="00346CE4">
      <w:pPr>
        <w:tabs>
          <w:tab w:val="left" w:pos="0"/>
        </w:tabs>
        <w:ind w:firstLine="0"/>
        <w:jc w:val="center"/>
        <w:rPr>
          <w:b/>
          <w:sz w:val="24"/>
          <w:szCs w:val="24"/>
        </w:rPr>
      </w:pPr>
    </w:p>
    <w:p w:rsidR="00346CE4" w:rsidRPr="00346CE4" w:rsidRDefault="00346CE4" w:rsidP="00346CE4">
      <w:pPr>
        <w:tabs>
          <w:tab w:val="left" w:pos="0"/>
        </w:tabs>
        <w:ind w:firstLine="0"/>
        <w:jc w:val="center"/>
        <w:rPr>
          <w:b/>
          <w:sz w:val="24"/>
          <w:szCs w:val="24"/>
        </w:rPr>
      </w:pPr>
      <w:r w:rsidRPr="00346CE4">
        <w:rPr>
          <w:b/>
          <w:sz w:val="24"/>
          <w:szCs w:val="24"/>
        </w:rPr>
        <w:br w:type="page"/>
      </w:r>
    </w:p>
    <w:p w:rsidR="00346CE4" w:rsidRPr="00346CE4" w:rsidRDefault="00346CE4" w:rsidP="00346CE4">
      <w:pPr>
        <w:tabs>
          <w:tab w:val="left" w:pos="0"/>
        </w:tabs>
        <w:ind w:firstLine="0"/>
        <w:jc w:val="center"/>
        <w:rPr>
          <w:b/>
          <w:sz w:val="24"/>
          <w:szCs w:val="24"/>
        </w:rPr>
      </w:pPr>
      <w:r w:rsidRPr="00346CE4">
        <w:rPr>
          <w:b/>
          <w:sz w:val="24"/>
          <w:szCs w:val="24"/>
        </w:rPr>
        <w:lastRenderedPageBreak/>
        <w:t>VIII. PROCEDURI DE RAPORTARE ŞI EVALUARE</w:t>
      </w:r>
    </w:p>
    <w:p w:rsidR="00346CE4" w:rsidRPr="00346CE4" w:rsidRDefault="00346CE4" w:rsidP="00346CE4">
      <w:pPr>
        <w:tabs>
          <w:tab w:val="left" w:pos="0"/>
        </w:tabs>
        <w:jc w:val="center"/>
        <w:rPr>
          <w:b/>
          <w:sz w:val="24"/>
          <w:szCs w:val="24"/>
        </w:rPr>
      </w:pPr>
    </w:p>
    <w:p w:rsidR="00346CE4" w:rsidRPr="00346CE4" w:rsidRDefault="00346CE4" w:rsidP="00346CE4">
      <w:pPr>
        <w:tabs>
          <w:tab w:val="left" w:pos="0"/>
        </w:tabs>
        <w:rPr>
          <w:sz w:val="24"/>
          <w:szCs w:val="24"/>
        </w:rPr>
      </w:pPr>
      <w:r w:rsidRPr="00346CE4">
        <w:rPr>
          <w:b/>
          <w:sz w:val="24"/>
          <w:szCs w:val="24"/>
        </w:rPr>
        <w:t>25.</w:t>
      </w:r>
      <w:r w:rsidRPr="00346CE4">
        <w:rPr>
          <w:sz w:val="24"/>
          <w:szCs w:val="24"/>
        </w:rPr>
        <w:t xml:space="preserve"> </w:t>
      </w:r>
      <w:proofErr w:type="spellStart"/>
      <w:r w:rsidRPr="00346CE4">
        <w:rPr>
          <w:sz w:val="24"/>
          <w:szCs w:val="24"/>
        </w:rPr>
        <w:t>Activităţile</w:t>
      </w:r>
      <w:proofErr w:type="spellEnd"/>
      <w:r w:rsidRPr="00346CE4">
        <w:rPr>
          <w:sz w:val="24"/>
          <w:szCs w:val="24"/>
        </w:rPr>
        <w:t xml:space="preserve"> de monitorizare constituie un proces continuu fiind </w:t>
      </w:r>
      <w:proofErr w:type="spellStart"/>
      <w:r w:rsidRPr="00346CE4">
        <w:rPr>
          <w:sz w:val="24"/>
          <w:szCs w:val="24"/>
        </w:rPr>
        <w:t>desfăşurate</w:t>
      </w:r>
      <w:proofErr w:type="spellEnd"/>
      <w:r w:rsidRPr="00346CE4">
        <w:rPr>
          <w:sz w:val="24"/>
          <w:szCs w:val="24"/>
        </w:rPr>
        <w:t xml:space="preserve"> pe toată perioada de implementare vor include atât colectarea, prelucrarea </w:t>
      </w:r>
      <w:proofErr w:type="spellStart"/>
      <w:r w:rsidRPr="00346CE4">
        <w:rPr>
          <w:sz w:val="24"/>
          <w:szCs w:val="24"/>
        </w:rPr>
        <w:t>şi</w:t>
      </w:r>
      <w:proofErr w:type="spellEnd"/>
      <w:r w:rsidRPr="00346CE4">
        <w:rPr>
          <w:sz w:val="24"/>
          <w:szCs w:val="24"/>
        </w:rPr>
        <w:t xml:space="preserve"> analiza datelor de monitorizare, identificarea erorilor sau a efectelor neprevăzute, cât </w:t>
      </w:r>
      <w:proofErr w:type="spellStart"/>
      <w:r w:rsidRPr="00346CE4">
        <w:rPr>
          <w:sz w:val="24"/>
          <w:szCs w:val="24"/>
        </w:rPr>
        <w:t>şi</w:t>
      </w:r>
      <w:proofErr w:type="spellEnd"/>
      <w:r w:rsidRPr="00346CE4">
        <w:rPr>
          <w:sz w:val="24"/>
          <w:szCs w:val="24"/>
        </w:rPr>
        <w:t xml:space="preserve"> eventualele rectificări de </w:t>
      </w:r>
      <w:proofErr w:type="spellStart"/>
      <w:r w:rsidRPr="00346CE4">
        <w:rPr>
          <w:sz w:val="24"/>
          <w:szCs w:val="24"/>
        </w:rPr>
        <w:t>conţinut</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de formă în măsurile </w:t>
      </w:r>
      <w:proofErr w:type="spellStart"/>
      <w:r w:rsidRPr="00346CE4">
        <w:rPr>
          <w:sz w:val="24"/>
          <w:szCs w:val="24"/>
        </w:rPr>
        <w:t>şi</w:t>
      </w:r>
      <w:proofErr w:type="spellEnd"/>
      <w:r w:rsidRPr="00346CE4">
        <w:rPr>
          <w:sz w:val="24"/>
          <w:szCs w:val="24"/>
        </w:rPr>
        <w:t xml:space="preserve"> </w:t>
      </w:r>
      <w:proofErr w:type="spellStart"/>
      <w:r w:rsidRPr="00346CE4">
        <w:rPr>
          <w:sz w:val="24"/>
          <w:szCs w:val="24"/>
        </w:rPr>
        <w:t>activităţile</w:t>
      </w:r>
      <w:proofErr w:type="spellEnd"/>
      <w:r w:rsidRPr="00346CE4">
        <w:rPr>
          <w:sz w:val="24"/>
          <w:szCs w:val="24"/>
        </w:rPr>
        <w:t xml:space="preserve"> planificate.</w:t>
      </w:r>
    </w:p>
    <w:p w:rsidR="00346CE4" w:rsidRPr="00346CE4" w:rsidRDefault="00346CE4" w:rsidP="00346CE4">
      <w:pPr>
        <w:tabs>
          <w:tab w:val="left" w:pos="0"/>
        </w:tabs>
        <w:rPr>
          <w:sz w:val="24"/>
          <w:szCs w:val="24"/>
        </w:rPr>
      </w:pPr>
      <w:r w:rsidRPr="00346CE4">
        <w:rPr>
          <w:sz w:val="24"/>
          <w:szCs w:val="24"/>
        </w:rPr>
        <w:t xml:space="preserve">Monitorizarea implementării prezentului Program se bazează pe practicile </w:t>
      </w:r>
      <w:proofErr w:type="spellStart"/>
      <w:r w:rsidRPr="00346CE4">
        <w:rPr>
          <w:sz w:val="24"/>
          <w:szCs w:val="24"/>
        </w:rPr>
        <w:t>internaţionale</w:t>
      </w:r>
      <w:proofErr w:type="spellEnd"/>
      <w:r w:rsidRPr="00346CE4">
        <w:rPr>
          <w:sz w:val="24"/>
          <w:szCs w:val="24"/>
        </w:rPr>
        <w:t xml:space="preserve"> de monitorizare </w:t>
      </w:r>
      <w:proofErr w:type="spellStart"/>
      <w:r w:rsidRPr="00346CE4">
        <w:rPr>
          <w:sz w:val="24"/>
          <w:szCs w:val="24"/>
        </w:rPr>
        <w:t>şi</w:t>
      </w:r>
      <w:proofErr w:type="spellEnd"/>
      <w:r w:rsidRPr="00346CE4">
        <w:rPr>
          <w:sz w:val="24"/>
          <w:szCs w:val="24"/>
        </w:rPr>
        <w:t xml:space="preserve"> estimare a nivelului de </w:t>
      </w:r>
      <w:proofErr w:type="spellStart"/>
      <w:r w:rsidRPr="00346CE4">
        <w:rPr>
          <w:sz w:val="24"/>
          <w:szCs w:val="24"/>
        </w:rPr>
        <w:t>eficienţă</w:t>
      </w:r>
      <w:proofErr w:type="spellEnd"/>
      <w:r w:rsidRPr="00346CE4">
        <w:rPr>
          <w:sz w:val="24"/>
          <w:szCs w:val="24"/>
        </w:rPr>
        <w:t xml:space="preserve"> în gestionarea spectrului de </w:t>
      </w:r>
      <w:proofErr w:type="spellStart"/>
      <w:r w:rsidRPr="00346CE4">
        <w:rPr>
          <w:sz w:val="24"/>
          <w:szCs w:val="24"/>
        </w:rPr>
        <w:t>frecvenţe</w:t>
      </w:r>
      <w:proofErr w:type="spellEnd"/>
      <w:r w:rsidRPr="00346CE4">
        <w:rPr>
          <w:sz w:val="24"/>
          <w:szCs w:val="24"/>
        </w:rPr>
        <w:t xml:space="preserve"> radio </w:t>
      </w:r>
      <w:proofErr w:type="spellStart"/>
      <w:r w:rsidRPr="00346CE4">
        <w:rPr>
          <w:sz w:val="24"/>
          <w:szCs w:val="24"/>
        </w:rPr>
        <w:t>şi</w:t>
      </w:r>
      <w:proofErr w:type="spellEnd"/>
      <w:r w:rsidRPr="00346CE4">
        <w:rPr>
          <w:sz w:val="24"/>
          <w:szCs w:val="24"/>
        </w:rPr>
        <w:t xml:space="preserve"> permite de a evalua în dinamică realizarea obiectivelor stipulate în acest Program, precum </w:t>
      </w:r>
      <w:proofErr w:type="spellStart"/>
      <w:r w:rsidRPr="00346CE4">
        <w:rPr>
          <w:sz w:val="24"/>
          <w:szCs w:val="24"/>
        </w:rPr>
        <w:t>şi</w:t>
      </w:r>
      <w:proofErr w:type="spellEnd"/>
      <w:r w:rsidRPr="00346CE4">
        <w:rPr>
          <w:sz w:val="24"/>
          <w:szCs w:val="24"/>
        </w:rPr>
        <w:t xml:space="preserve"> atingerea scopului final de dezvoltare continuă a </w:t>
      </w:r>
      <w:proofErr w:type="spellStart"/>
      <w:r w:rsidRPr="00346CE4">
        <w:rPr>
          <w:sz w:val="24"/>
          <w:szCs w:val="24"/>
        </w:rPr>
        <w:t>reţelelor</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a serviciilor publice de </w:t>
      </w:r>
      <w:proofErr w:type="spellStart"/>
      <w:r w:rsidRPr="00346CE4">
        <w:rPr>
          <w:sz w:val="24"/>
          <w:szCs w:val="24"/>
        </w:rPr>
        <w:t>comunicaţii</w:t>
      </w:r>
      <w:proofErr w:type="spellEnd"/>
      <w:r w:rsidRPr="00346CE4">
        <w:rPr>
          <w:sz w:val="24"/>
          <w:szCs w:val="24"/>
        </w:rPr>
        <w:t xml:space="preserve"> electronice mobile în bandă largă, de implementare a tehnologiilor </w:t>
      </w:r>
      <w:proofErr w:type="spellStart"/>
      <w:r w:rsidRPr="00346CE4">
        <w:rPr>
          <w:sz w:val="24"/>
          <w:szCs w:val="24"/>
        </w:rPr>
        <w:t>şi</w:t>
      </w:r>
      <w:proofErr w:type="spellEnd"/>
      <w:r w:rsidRPr="00346CE4">
        <w:rPr>
          <w:sz w:val="24"/>
          <w:szCs w:val="24"/>
        </w:rPr>
        <w:t xml:space="preserve"> a serviciilor de </w:t>
      </w:r>
      <w:proofErr w:type="spellStart"/>
      <w:r w:rsidRPr="00346CE4">
        <w:rPr>
          <w:sz w:val="24"/>
          <w:szCs w:val="24"/>
        </w:rPr>
        <w:t>generaţie</w:t>
      </w:r>
      <w:proofErr w:type="spellEnd"/>
      <w:r w:rsidRPr="00346CE4">
        <w:rPr>
          <w:sz w:val="24"/>
          <w:szCs w:val="24"/>
        </w:rPr>
        <w:t xml:space="preserve"> nouă (5G), cu păstrarea posibilității dezvoltării continue în </w:t>
      </w:r>
      <w:proofErr w:type="spellStart"/>
      <w:r w:rsidRPr="00346CE4">
        <w:rPr>
          <w:sz w:val="24"/>
          <w:szCs w:val="24"/>
        </w:rPr>
        <w:t>condiţiile</w:t>
      </w:r>
      <w:proofErr w:type="spellEnd"/>
      <w:r w:rsidRPr="00346CE4">
        <w:rPr>
          <w:sz w:val="24"/>
          <w:szCs w:val="24"/>
        </w:rPr>
        <w:t xml:space="preserve"> locale, conform </w:t>
      </w:r>
      <w:proofErr w:type="spellStart"/>
      <w:r w:rsidRPr="00346CE4">
        <w:rPr>
          <w:sz w:val="24"/>
          <w:szCs w:val="24"/>
        </w:rPr>
        <w:t>cerinţelor</w:t>
      </w:r>
      <w:proofErr w:type="spellEnd"/>
      <w:r w:rsidRPr="00346CE4">
        <w:rPr>
          <w:sz w:val="24"/>
          <w:szCs w:val="24"/>
        </w:rPr>
        <w:t xml:space="preserve"> de </w:t>
      </w:r>
      <w:proofErr w:type="spellStart"/>
      <w:r w:rsidRPr="00346CE4">
        <w:rPr>
          <w:sz w:val="24"/>
          <w:szCs w:val="24"/>
        </w:rPr>
        <w:t>piaţă</w:t>
      </w:r>
      <w:proofErr w:type="spellEnd"/>
      <w:r w:rsidRPr="00346CE4">
        <w:rPr>
          <w:sz w:val="24"/>
          <w:szCs w:val="24"/>
        </w:rPr>
        <w:t xml:space="preserve"> a serviciilor existente GSM (2G), UMTS (3G), LTE (4G).</w:t>
      </w:r>
    </w:p>
    <w:p w:rsidR="00346CE4" w:rsidRPr="00346CE4" w:rsidRDefault="00346CE4" w:rsidP="00346CE4">
      <w:pPr>
        <w:tabs>
          <w:tab w:val="left" w:pos="0"/>
        </w:tabs>
        <w:ind w:firstLine="708"/>
        <w:rPr>
          <w:sz w:val="24"/>
          <w:szCs w:val="24"/>
        </w:rPr>
      </w:pPr>
      <w:r w:rsidRPr="00346CE4">
        <w:rPr>
          <w:sz w:val="24"/>
          <w:szCs w:val="24"/>
        </w:rPr>
        <w:t xml:space="preserve">Datele statistice </w:t>
      </w:r>
      <w:proofErr w:type="spellStart"/>
      <w:r w:rsidRPr="00346CE4">
        <w:rPr>
          <w:sz w:val="24"/>
          <w:szCs w:val="24"/>
        </w:rPr>
        <w:t>şi</w:t>
      </w:r>
      <w:proofErr w:type="spellEnd"/>
      <w:r w:rsidRPr="00346CE4">
        <w:rPr>
          <w:sz w:val="24"/>
          <w:szCs w:val="24"/>
        </w:rPr>
        <w:t xml:space="preserve"> administrative sunt colectate de către Biroul </w:t>
      </w:r>
      <w:proofErr w:type="spellStart"/>
      <w:r w:rsidRPr="00346CE4">
        <w:rPr>
          <w:sz w:val="24"/>
          <w:szCs w:val="24"/>
        </w:rPr>
        <w:t>Naţional</w:t>
      </w:r>
      <w:proofErr w:type="spellEnd"/>
      <w:r w:rsidRPr="00346CE4">
        <w:rPr>
          <w:sz w:val="24"/>
          <w:szCs w:val="24"/>
        </w:rPr>
        <w:t xml:space="preserve"> de Statistică, </w:t>
      </w: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r w:rsidRPr="00346CE4">
        <w:rPr>
          <w:sz w:val="24"/>
          <w:szCs w:val="24"/>
        </w:rPr>
        <w:t xml:space="preserve">, precum </w:t>
      </w:r>
      <w:proofErr w:type="spellStart"/>
      <w:r w:rsidRPr="00346CE4">
        <w:rPr>
          <w:sz w:val="24"/>
          <w:szCs w:val="24"/>
        </w:rPr>
        <w:t>şi</w:t>
      </w:r>
      <w:proofErr w:type="spellEnd"/>
      <w:r w:rsidRPr="00346CE4">
        <w:rPr>
          <w:sz w:val="24"/>
          <w:szCs w:val="24"/>
        </w:rPr>
        <w:t xml:space="preserve"> prin diverse sondaje efectuate de către </w:t>
      </w:r>
      <w:proofErr w:type="spellStart"/>
      <w:r w:rsidRPr="00346CE4">
        <w:rPr>
          <w:sz w:val="24"/>
          <w:szCs w:val="24"/>
        </w:rPr>
        <w:t>instituţiile</w:t>
      </w:r>
      <w:proofErr w:type="spellEnd"/>
      <w:r w:rsidRPr="00346CE4">
        <w:rPr>
          <w:sz w:val="24"/>
          <w:szCs w:val="24"/>
        </w:rPr>
        <w:t xml:space="preserve"> specializate.</w:t>
      </w:r>
    </w:p>
    <w:p w:rsidR="00346CE4" w:rsidRPr="00346CE4" w:rsidRDefault="00346CE4" w:rsidP="00346CE4">
      <w:pPr>
        <w:tabs>
          <w:tab w:val="left" w:pos="0"/>
        </w:tabs>
        <w:rPr>
          <w:rFonts w:eastAsia="SimSun"/>
          <w:sz w:val="24"/>
          <w:szCs w:val="24"/>
          <w:lang w:eastAsia="en-GB"/>
        </w:rPr>
      </w:pPr>
      <w:r w:rsidRPr="00346CE4">
        <w:rPr>
          <w:rFonts w:eastAsia="SimSun"/>
          <w:sz w:val="24"/>
          <w:szCs w:val="24"/>
          <w:lang w:eastAsia="en-GB"/>
        </w:rPr>
        <w:t xml:space="preserve">Pe baza rapoartelor primare de monitorizare parvenite de la </w:t>
      </w:r>
      <w:proofErr w:type="spellStart"/>
      <w:r w:rsidRPr="00346CE4">
        <w:rPr>
          <w:rFonts w:eastAsia="SimSun"/>
          <w:sz w:val="24"/>
          <w:szCs w:val="24"/>
          <w:lang w:eastAsia="en-GB"/>
        </w:rPr>
        <w:t>autorităţile</w:t>
      </w:r>
      <w:proofErr w:type="spellEnd"/>
      <w:r w:rsidRPr="00346CE4">
        <w:rPr>
          <w:rFonts w:eastAsia="SimSun"/>
          <w:sz w:val="24"/>
          <w:szCs w:val="24"/>
          <w:lang w:eastAsia="en-GB"/>
        </w:rPr>
        <w:t xml:space="preserve"> implicate în implementarea programului, organul central de specialitate va elabora anual Raportul de monitorizare până la data de 1 martie a anului următor. Raportul de monitorizare va </w:t>
      </w:r>
      <w:proofErr w:type="spellStart"/>
      <w:r w:rsidRPr="00346CE4">
        <w:rPr>
          <w:rFonts w:eastAsia="SimSun"/>
          <w:sz w:val="24"/>
          <w:szCs w:val="24"/>
          <w:lang w:eastAsia="en-GB"/>
        </w:rPr>
        <w:t>conţine</w:t>
      </w:r>
      <w:proofErr w:type="spellEnd"/>
      <w:r w:rsidRPr="00346CE4">
        <w:rPr>
          <w:rFonts w:eastAsia="SimSun"/>
          <w:sz w:val="24"/>
          <w:szCs w:val="24"/>
          <w:lang w:eastAsia="en-GB"/>
        </w:rPr>
        <w:t xml:space="preserve"> </w:t>
      </w:r>
      <w:proofErr w:type="spellStart"/>
      <w:r w:rsidRPr="00346CE4">
        <w:rPr>
          <w:rFonts w:eastAsia="SimSun"/>
          <w:sz w:val="24"/>
          <w:szCs w:val="24"/>
          <w:lang w:eastAsia="en-GB"/>
        </w:rPr>
        <w:t>informaţia</w:t>
      </w:r>
      <w:proofErr w:type="spellEnd"/>
      <w:r w:rsidRPr="00346CE4">
        <w:rPr>
          <w:rFonts w:eastAsia="SimSun"/>
          <w:sz w:val="24"/>
          <w:szCs w:val="24"/>
          <w:lang w:eastAsia="en-GB"/>
        </w:rPr>
        <w:t xml:space="preserve"> cu privire la realizările și eșecurile privind implementarea prezentului Program în perioada respectivă, precum </w:t>
      </w:r>
      <w:proofErr w:type="spellStart"/>
      <w:r w:rsidRPr="00346CE4">
        <w:rPr>
          <w:rFonts w:eastAsia="SimSun"/>
          <w:sz w:val="24"/>
          <w:szCs w:val="24"/>
          <w:lang w:eastAsia="en-GB"/>
        </w:rPr>
        <w:t>şi</w:t>
      </w:r>
      <w:proofErr w:type="spellEnd"/>
      <w:r w:rsidRPr="00346CE4">
        <w:rPr>
          <w:rFonts w:eastAsia="SimSun"/>
          <w:sz w:val="24"/>
          <w:szCs w:val="24"/>
          <w:lang w:eastAsia="en-GB"/>
        </w:rPr>
        <w:t xml:space="preserve"> nivelul atingerii indicatorilor de impact.</w:t>
      </w:r>
    </w:p>
    <w:p w:rsidR="00346CE4" w:rsidRPr="00346CE4" w:rsidRDefault="00346CE4" w:rsidP="00346CE4">
      <w:pPr>
        <w:tabs>
          <w:tab w:val="left" w:pos="0"/>
        </w:tabs>
        <w:rPr>
          <w:rFonts w:eastAsia="SimSun"/>
          <w:sz w:val="24"/>
          <w:szCs w:val="24"/>
          <w:lang w:eastAsia="en-GB"/>
        </w:rPr>
      </w:pPr>
    </w:p>
    <w:p w:rsidR="00346CE4" w:rsidRPr="00346CE4" w:rsidRDefault="00346CE4" w:rsidP="00346CE4">
      <w:pPr>
        <w:tabs>
          <w:tab w:val="left" w:pos="0"/>
        </w:tabs>
        <w:ind w:firstLine="708"/>
        <w:rPr>
          <w:rFonts w:eastAsia="SimSun"/>
          <w:sz w:val="24"/>
          <w:szCs w:val="24"/>
          <w:lang w:eastAsia="en-GB"/>
        </w:rPr>
      </w:pPr>
      <w:r w:rsidRPr="00346CE4">
        <w:rPr>
          <w:b/>
          <w:sz w:val="24"/>
          <w:szCs w:val="24"/>
        </w:rPr>
        <w:t>26.</w:t>
      </w:r>
      <w:r w:rsidRPr="00346CE4">
        <w:rPr>
          <w:sz w:val="24"/>
          <w:szCs w:val="24"/>
        </w:rPr>
        <w:t xml:space="preserve"> </w:t>
      </w:r>
      <w:r w:rsidRPr="00346CE4">
        <w:rPr>
          <w:rFonts w:eastAsia="SimSun"/>
          <w:sz w:val="24"/>
          <w:szCs w:val="24"/>
          <w:lang w:eastAsia="en-GB"/>
        </w:rPr>
        <w:t xml:space="preserve">Evaluarea implementării prezentului Program se va realiza la finele ultimei etape de implementare </w:t>
      </w:r>
      <w:proofErr w:type="spellStart"/>
      <w:r w:rsidRPr="00346CE4">
        <w:rPr>
          <w:rFonts w:eastAsia="SimSun"/>
          <w:sz w:val="24"/>
          <w:szCs w:val="24"/>
          <w:lang w:eastAsia="en-GB"/>
        </w:rPr>
        <w:t>şi</w:t>
      </w:r>
      <w:proofErr w:type="spellEnd"/>
      <w:r w:rsidRPr="00346CE4">
        <w:rPr>
          <w:rFonts w:eastAsia="SimSun"/>
          <w:sz w:val="24"/>
          <w:szCs w:val="24"/>
          <w:lang w:eastAsia="en-GB"/>
        </w:rPr>
        <w:t xml:space="preserve"> va rezulta în Raportul final de evaluare a implementării Programului.</w:t>
      </w:r>
    </w:p>
    <w:p w:rsidR="00346CE4" w:rsidRPr="00346CE4" w:rsidRDefault="00346CE4" w:rsidP="00346CE4">
      <w:pPr>
        <w:tabs>
          <w:tab w:val="left" w:pos="0"/>
        </w:tabs>
        <w:rPr>
          <w:sz w:val="24"/>
          <w:szCs w:val="24"/>
        </w:rPr>
      </w:pPr>
      <w:r w:rsidRPr="00346CE4">
        <w:rPr>
          <w:sz w:val="24"/>
          <w:szCs w:val="24"/>
        </w:rPr>
        <w:t xml:space="preserve">Evaluarea finală va implica atât parteneri-cheie, cât </w:t>
      </w:r>
      <w:proofErr w:type="spellStart"/>
      <w:r w:rsidRPr="00346CE4">
        <w:rPr>
          <w:sz w:val="24"/>
          <w:szCs w:val="24"/>
        </w:rPr>
        <w:t>şi</w:t>
      </w:r>
      <w:proofErr w:type="spellEnd"/>
      <w:r w:rsidRPr="00346CE4">
        <w:rPr>
          <w:sz w:val="24"/>
          <w:szCs w:val="24"/>
        </w:rPr>
        <w:t xml:space="preserve"> </w:t>
      </w:r>
      <w:proofErr w:type="spellStart"/>
      <w:r w:rsidRPr="00346CE4">
        <w:rPr>
          <w:sz w:val="24"/>
          <w:szCs w:val="24"/>
        </w:rPr>
        <w:t>constituenţi</w:t>
      </w:r>
      <w:proofErr w:type="spellEnd"/>
      <w:r w:rsidRPr="00346CE4">
        <w:rPr>
          <w:sz w:val="24"/>
          <w:szCs w:val="24"/>
        </w:rPr>
        <w:t xml:space="preserve"> principali ai organului central de specialitate pentru a asigura un proces obiectiv </w:t>
      </w:r>
      <w:proofErr w:type="spellStart"/>
      <w:r w:rsidRPr="00346CE4">
        <w:rPr>
          <w:sz w:val="24"/>
          <w:szCs w:val="24"/>
        </w:rPr>
        <w:t>şi</w:t>
      </w:r>
      <w:proofErr w:type="spellEnd"/>
      <w:r w:rsidRPr="00346CE4">
        <w:rPr>
          <w:sz w:val="24"/>
          <w:szCs w:val="24"/>
        </w:rPr>
        <w:t xml:space="preserve"> comprehensiv.</w:t>
      </w:r>
    </w:p>
    <w:p w:rsidR="00346CE4" w:rsidRPr="00346CE4" w:rsidRDefault="00346CE4" w:rsidP="00346CE4">
      <w:pPr>
        <w:tabs>
          <w:tab w:val="left" w:pos="0"/>
        </w:tabs>
        <w:rPr>
          <w:sz w:val="24"/>
          <w:szCs w:val="24"/>
        </w:rPr>
      </w:pPr>
    </w:p>
    <w:p w:rsidR="00346CE4" w:rsidRPr="00361E9D" w:rsidRDefault="00346CE4" w:rsidP="00361E9D">
      <w:pPr>
        <w:tabs>
          <w:tab w:val="left" w:pos="0"/>
        </w:tabs>
        <w:rPr>
          <w:sz w:val="24"/>
          <w:szCs w:val="24"/>
        </w:rPr>
      </w:pPr>
      <w:r w:rsidRPr="00346CE4">
        <w:rPr>
          <w:b/>
          <w:sz w:val="24"/>
          <w:szCs w:val="24"/>
        </w:rPr>
        <w:t>27.</w:t>
      </w:r>
      <w:r w:rsidRPr="00346CE4">
        <w:rPr>
          <w:sz w:val="24"/>
          <w:szCs w:val="24"/>
        </w:rPr>
        <w:t xml:space="preserve"> </w:t>
      </w:r>
      <w:proofErr w:type="spellStart"/>
      <w:r w:rsidRPr="00346CE4">
        <w:rPr>
          <w:sz w:val="24"/>
          <w:szCs w:val="24"/>
        </w:rPr>
        <w:t>Transparenţa</w:t>
      </w:r>
      <w:proofErr w:type="spellEnd"/>
      <w:r w:rsidRPr="00346CE4">
        <w:rPr>
          <w:sz w:val="24"/>
          <w:szCs w:val="24"/>
        </w:rPr>
        <w:t xml:space="preserve"> proceselor de implementare a prezentului Program se asigură prin publicarea pe pagina web oficială a organului central de specialitate </w:t>
      </w:r>
      <w:proofErr w:type="spellStart"/>
      <w:r w:rsidRPr="00346CE4">
        <w:rPr>
          <w:sz w:val="24"/>
          <w:szCs w:val="24"/>
        </w:rPr>
        <w:t>şi</w:t>
      </w:r>
      <w:proofErr w:type="spellEnd"/>
      <w:r w:rsidRPr="00346CE4">
        <w:rPr>
          <w:sz w:val="24"/>
          <w:szCs w:val="24"/>
        </w:rPr>
        <w:t xml:space="preserve"> a </w:t>
      </w:r>
      <w:proofErr w:type="spellStart"/>
      <w:r w:rsidRPr="00346CE4">
        <w:rPr>
          <w:sz w:val="24"/>
          <w:szCs w:val="24"/>
        </w:rPr>
        <w:t>autorităţii</w:t>
      </w:r>
      <w:proofErr w:type="spellEnd"/>
      <w:r w:rsidRPr="00346CE4">
        <w:rPr>
          <w:sz w:val="24"/>
          <w:szCs w:val="24"/>
        </w:rPr>
        <w:t xml:space="preserve"> de reglementare, a rapoartelor anuale de progres, precum </w:t>
      </w:r>
      <w:proofErr w:type="spellStart"/>
      <w:r w:rsidRPr="00346CE4">
        <w:rPr>
          <w:sz w:val="24"/>
          <w:szCs w:val="24"/>
        </w:rPr>
        <w:t>şi</w:t>
      </w:r>
      <w:proofErr w:type="spellEnd"/>
      <w:r w:rsidRPr="00346CE4">
        <w:rPr>
          <w:sz w:val="24"/>
          <w:szCs w:val="24"/>
        </w:rPr>
        <w:t xml:space="preserve"> a raportului final de evaluare după implementarea prezentului Program. Organul central de specialitate</w:t>
      </w:r>
      <w:r w:rsidRPr="00346CE4" w:rsidDel="00B042FB">
        <w:rPr>
          <w:sz w:val="24"/>
          <w:szCs w:val="24"/>
        </w:rPr>
        <w:t xml:space="preserve"> </w:t>
      </w:r>
      <w:r w:rsidRPr="00346CE4">
        <w:rPr>
          <w:sz w:val="24"/>
          <w:szCs w:val="24"/>
        </w:rPr>
        <w:t xml:space="preserve">va asigura mediatizarea largă a procesului de realizare a Programului, precum </w:t>
      </w:r>
      <w:proofErr w:type="spellStart"/>
      <w:r w:rsidRPr="00346CE4">
        <w:rPr>
          <w:sz w:val="24"/>
          <w:szCs w:val="24"/>
        </w:rPr>
        <w:t>şi</w:t>
      </w:r>
      <w:proofErr w:type="spellEnd"/>
      <w:r w:rsidRPr="00346CE4">
        <w:rPr>
          <w:sz w:val="24"/>
          <w:szCs w:val="24"/>
        </w:rPr>
        <w:t xml:space="preserve"> va oferiri </w:t>
      </w:r>
      <w:proofErr w:type="spellStart"/>
      <w:r w:rsidRPr="00346CE4">
        <w:rPr>
          <w:sz w:val="24"/>
          <w:szCs w:val="24"/>
        </w:rPr>
        <w:t>informaţii</w:t>
      </w:r>
      <w:proofErr w:type="spellEnd"/>
      <w:r w:rsidRPr="00346CE4">
        <w:rPr>
          <w:sz w:val="24"/>
          <w:szCs w:val="24"/>
        </w:rPr>
        <w:t xml:space="preserve"> relevante partenerilor din </w:t>
      </w:r>
      <w:proofErr w:type="spellStart"/>
      <w:r w:rsidRPr="00346CE4">
        <w:rPr>
          <w:sz w:val="24"/>
          <w:szCs w:val="24"/>
        </w:rPr>
        <w:t>ţară</w:t>
      </w:r>
      <w:proofErr w:type="spellEnd"/>
      <w:r w:rsidRPr="00346CE4">
        <w:rPr>
          <w:sz w:val="24"/>
          <w:szCs w:val="24"/>
        </w:rPr>
        <w:t xml:space="preserve"> </w:t>
      </w:r>
      <w:proofErr w:type="spellStart"/>
      <w:r w:rsidRPr="00346CE4">
        <w:rPr>
          <w:sz w:val="24"/>
          <w:szCs w:val="24"/>
        </w:rPr>
        <w:t>şi</w:t>
      </w:r>
      <w:proofErr w:type="spellEnd"/>
      <w:r w:rsidRPr="00346CE4">
        <w:rPr>
          <w:sz w:val="24"/>
          <w:szCs w:val="24"/>
        </w:rPr>
        <w:t xml:space="preserve"> de peste hotare.</w:t>
      </w:r>
    </w:p>
    <w:p w:rsidR="00346CE4" w:rsidRPr="00346CE4" w:rsidRDefault="00346CE4" w:rsidP="00346CE4">
      <w:pPr>
        <w:tabs>
          <w:tab w:val="left" w:pos="0"/>
        </w:tabs>
        <w:ind w:firstLine="0"/>
        <w:jc w:val="center"/>
        <w:rPr>
          <w:b/>
          <w:sz w:val="24"/>
          <w:szCs w:val="24"/>
        </w:rPr>
      </w:pPr>
    </w:p>
    <w:p w:rsidR="00346CE4" w:rsidRPr="00346CE4" w:rsidRDefault="00346CE4" w:rsidP="00346CE4">
      <w:pPr>
        <w:tabs>
          <w:tab w:val="left" w:pos="0"/>
        </w:tabs>
        <w:ind w:firstLine="0"/>
        <w:jc w:val="center"/>
        <w:rPr>
          <w:b/>
          <w:sz w:val="24"/>
          <w:szCs w:val="24"/>
        </w:rPr>
      </w:pPr>
      <w:r w:rsidRPr="00346CE4">
        <w:rPr>
          <w:b/>
          <w:sz w:val="24"/>
          <w:szCs w:val="24"/>
        </w:rPr>
        <w:t>IX. PLANUL DE ACŢIUNI</w:t>
      </w:r>
    </w:p>
    <w:p w:rsidR="00346CE4" w:rsidRPr="00346CE4" w:rsidRDefault="00346CE4" w:rsidP="00346CE4">
      <w:pPr>
        <w:tabs>
          <w:tab w:val="left" w:pos="0"/>
        </w:tabs>
        <w:jc w:val="center"/>
        <w:rPr>
          <w:b/>
          <w:sz w:val="24"/>
          <w:szCs w:val="24"/>
        </w:rPr>
      </w:pPr>
    </w:p>
    <w:p w:rsidR="00346CE4" w:rsidRPr="00346CE4" w:rsidRDefault="00346CE4" w:rsidP="00346CE4">
      <w:pPr>
        <w:tabs>
          <w:tab w:val="left" w:pos="0"/>
        </w:tabs>
        <w:rPr>
          <w:sz w:val="24"/>
          <w:szCs w:val="24"/>
        </w:rPr>
      </w:pPr>
      <w:r w:rsidRPr="00346CE4">
        <w:rPr>
          <w:b/>
          <w:sz w:val="24"/>
          <w:szCs w:val="24"/>
        </w:rPr>
        <w:t>28.</w:t>
      </w:r>
      <w:r w:rsidRPr="00346CE4">
        <w:rPr>
          <w:sz w:val="24"/>
          <w:szCs w:val="24"/>
        </w:rPr>
        <w:t xml:space="preserve"> Planul de </w:t>
      </w:r>
      <w:proofErr w:type="spellStart"/>
      <w:r w:rsidRPr="00346CE4">
        <w:rPr>
          <w:sz w:val="24"/>
          <w:szCs w:val="24"/>
        </w:rPr>
        <w:t>acţiuni</w:t>
      </w:r>
      <w:proofErr w:type="spellEnd"/>
      <w:r w:rsidRPr="00346CE4">
        <w:rPr>
          <w:sz w:val="24"/>
          <w:szCs w:val="24"/>
        </w:rPr>
        <w:t xml:space="preserve"> privind realizarea Programului </w:t>
      </w:r>
      <w:r w:rsidRPr="00346CE4">
        <w:rPr>
          <w:bCs/>
          <w:sz w:val="24"/>
          <w:szCs w:val="24"/>
        </w:rPr>
        <w:t xml:space="preserve">de management al spectrului de </w:t>
      </w:r>
      <w:proofErr w:type="spellStart"/>
      <w:r w:rsidRPr="00346CE4">
        <w:rPr>
          <w:bCs/>
          <w:sz w:val="24"/>
          <w:szCs w:val="24"/>
        </w:rPr>
        <w:t>frecvenţe</w:t>
      </w:r>
      <w:proofErr w:type="spellEnd"/>
      <w:r w:rsidRPr="00346CE4">
        <w:rPr>
          <w:bCs/>
          <w:sz w:val="24"/>
          <w:szCs w:val="24"/>
        </w:rPr>
        <w:t xml:space="preserve"> radio pentru anii 2021-2025 </w:t>
      </w:r>
      <w:r w:rsidRPr="00346CE4">
        <w:rPr>
          <w:sz w:val="24"/>
          <w:szCs w:val="24"/>
        </w:rPr>
        <w:t xml:space="preserve">a fost elaborat în conformitate cu obiectivele stabilite </w:t>
      </w:r>
      <w:proofErr w:type="spellStart"/>
      <w:r w:rsidRPr="00346CE4">
        <w:rPr>
          <w:sz w:val="24"/>
          <w:szCs w:val="24"/>
        </w:rPr>
        <w:t>şi</w:t>
      </w:r>
      <w:proofErr w:type="spellEnd"/>
      <w:r w:rsidRPr="00346CE4">
        <w:rPr>
          <w:sz w:val="24"/>
          <w:szCs w:val="24"/>
        </w:rPr>
        <w:t xml:space="preserve"> luând în considerare rezultatele analizei </w:t>
      </w:r>
      <w:proofErr w:type="spellStart"/>
      <w:r w:rsidRPr="00346CE4">
        <w:rPr>
          <w:sz w:val="24"/>
          <w:szCs w:val="24"/>
        </w:rPr>
        <w:t>situaţiei</w:t>
      </w:r>
      <w:proofErr w:type="spellEnd"/>
      <w:r w:rsidRPr="00346CE4">
        <w:rPr>
          <w:sz w:val="24"/>
          <w:szCs w:val="24"/>
        </w:rPr>
        <w:t xml:space="preserve"> actuale în domeniul managementului spectrului de </w:t>
      </w:r>
      <w:proofErr w:type="spellStart"/>
      <w:r w:rsidRPr="00346CE4">
        <w:rPr>
          <w:sz w:val="24"/>
          <w:szCs w:val="24"/>
        </w:rPr>
        <w:t>frecvenţe</w:t>
      </w:r>
      <w:proofErr w:type="spellEnd"/>
      <w:r w:rsidRPr="00346CE4">
        <w:rPr>
          <w:sz w:val="24"/>
          <w:szCs w:val="24"/>
        </w:rPr>
        <w:t xml:space="preserve"> radio.</w:t>
      </w:r>
      <w:r w:rsidRPr="00346CE4">
        <w:rPr>
          <w:sz w:val="24"/>
          <w:szCs w:val="24"/>
        </w:rPr>
        <w:br w:type="page"/>
      </w:r>
    </w:p>
    <w:p w:rsidR="00346CE4" w:rsidRPr="00346CE4" w:rsidRDefault="00346CE4" w:rsidP="00346CE4">
      <w:pPr>
        <w:tabs>
          <w:tab w:val="left" w:pos="0"/>
        </w:tabs>
        <w:rPr>
          <w:rFonts w:ascii="Calibri" w:hAnsi="Calibri"/>
          <w:sz w:val="24"/>
          <w:szCs w:val="24"/>
        </w:rPr>
        <w:sectPr w:rsidR="00346CE4" w:rsidRPr="00346CE4" w:rsidSect="004A228A">
          <w:headerReference w:type="default" r:id="rId8"/>
          <w:headerReference w:type="first" r:id="rId9"/>
          <w:pgSz w:w="11907" w:h="16840" w:code="9"/>
          <w:pgMar w:top="1134" w:right="964" w:bottom="1134" w:left="1814" w:header="1134" w:footer="851" w:gutter="0"/>
          <w:cols w:space="720"/>
          <w:titlePg/>
          <w:docGrid w:linePitch="272"/>
        </w:sectPr>
      </w:pPr>
    </w:p>
    <w:p w:rsidR="00346CE4" w:rsidRPr="00346CE4" w:rsidRDefault="00346CE4" w:rsidP="00346CE4">
      <w:pPr>
        <w:jc w:val="center"/>
        <w:rPr>
          <w:b/>
          <w:bCs/>
          <w:sz w:val="24"/>
          <w:szCs w:val="24"/>
        </w:rPr>
      </w:pPr>
      <w:r w:rsidRPr="00346CE4">
        <w:rPr>
          <w:b/>
          <w:bCs/>
          <w:sz w:val="24"/>
          <w:szCs w:val="24"/>
        </w:rPr>
        <w:lastRenderedPageBreak/>
        <w:t>PLANUL DE ACŢIUNI</w:t>
      </w:r>
    </w:p>
    <w:p w:rsidR="00346CE4" w:rsidRPr="00346CE4" w:rsidRDefault="00346CE4" w:rsidP="00346CE4">
      <w:pPr>
        <w:jc w:val="center"/>
        <w:rPr>
          <w:b/>
          <w:bCs/>
          <w:sz w:val="24"/>
          <w:szCs w:val="24"/>
        </w:rPr>
      </w:pPr>
      <w:r w:rsidRPr="00346CE4">
        <w:rPr>
          <w:b/>
          <w:bCs/>
          <w:sz w:val="24"/>
          <w:szCs w:val="24"/>
        </w:rPr>
        <w:t xml:space="preserve">privind realizarea Programului de management al spectrului de </w:t>
      </w:r>
      <w:proofErr w:type="spellStart"/>
      <w:r w:rsidRPr="00346CE4">
        <w:rPr>
          <w:b/>
          <w:bCs/>
          <w:sz w:val="24"/>
          <w:szCs w:val="24"/>
        </w:rPr>
        <w:t>frecvenţe</w:t>
      </w:r>
      <w:proofErr w:type="spellEnd"/>
      <w:r w:rsidRPr="00346CE4">
        <w:rPr>
          <w:b/>
          <w:bCs/>
          <w:sz w:val="24"/>
          <w:szCs w:val="24"/>
        </w:rPr>
        <w:t xml:space="preserve"> radio pentru anii 2021-2025</w:t>
      </w:r>
    </w:p>
    <w:p w:rsidR="00346CE4" w:rsidRPr="00346CE4" w:rsidRDefault="00346CE4" w:rsidP="00346CE4">
      <w:pPr>
        <w:ind w:firstLine="567"/>
        <w:rPr>
          <w:sz w:val="24"/>
          <w:szCs w:val="24"/>
        </w:rPr>
      </w:pPr>
    </w:p>
    <w:tbl>
      <w:tblPr>
        <w:tblW w:w="5000" w:type="pct"/>
        <w:jc w:val="center"/>
        <w:tblBorders>
          <w:top w:val="single" w:sz="4" w:space="0" w:color="auto"/>
          <w:left w:val="single" w:sz="6" w:space="0" w:color="000000"/>
          <w:bottom w:val="single" w:sz="4" w:space="0" w:color="auto"/>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76"/>
        <w:gridCol w:w="5391"/>
        <w:gridCol w:w="1575"/>
        <w:gridCol w:w="1706"/>
        <w:gridCol w:w="1275"/>
        <w:gridCol w:w="1813"/>
        <w:gridCol w:w="2218"/>
      </w:tblGrid>
      <w:tr w:rsidR="00346CE4" w:rsidRPr="00346CE4" w:rsidTr="0068170A">
        <w:trPr>
          <w:trHeight w:val="616"/>
          <w:jc w:val="center"/>
        </w:trPr>
        <w:tc>
          <w:tcPr>
            <w:tcW w:w="198" w:type="pct"/>
            <w:tcMar>
              <w:top w:w="15" w:type="dxa"/>
              <w:left w:w="45" w:type="dxa"/>
              <w:bottom w:w="15" w:type="dxa"/>
              <w:right w:w="45" w:type="dxa"/>
            </w:tcMar>
            <w:vAlign w:val="center"/>
            <w:hideMark/>
          </w:tcPr>
          <w:p w:rsidR="00346CE4" w:rsidRPr="00346CE4" w:rsidRDefault="00346CE4" w:rsidP="00346CE4">
            <w:pPr>
              <w:ind w:firstLine="0"/>
              <w:jc w:val="center"/>
              <w:rPr>
                <w:b/>
                <w:bCs/>
                <w:sz w:val="24"/>
                <w:szCs w:val="24"/>
              </w:rPr>
            </w:pPr>
            <w:r w:rsidRPr="00346CE4">
              <w:rPr>
                <w:b/>
                <w:bCs/>
                <w:sz w:val="24"/>
                <w:szCs w:val="24"/>
              </w:rPr>
              <w:t>Nr.</w:t>
            </w:r>
          </w:p>
          <w:p w:rsidR="00346CE4" w:rsidRPr="00346CE4" w:rsidRDefault="00346CE4" w:rsidP="00346CE4">
            <w:pPr>
              <w:ind w:firstLine="0"/>
              <w:jc w:val="center"/>
              <w:rPr>
                <w:b/>
                <w:bCs/>
                <w:sz w:val="24"/>
                <w:szCs w:val="24"/>
              </w:rPr>
            </w:pPr>
            <w:r w:rsidRPr="00346CE4">
              <w:rPr>
                <w:b/>
                <w:bCs/>
                <w:sz w:val="24"/>
                <w:szCs w:val="24"/>
              </w:rPr>
              <w:t>crt.</w:t>
            </w:r>
          </w:p>
        </w:tc>
        <w:tc>
          <w:tcPr>
            <w:tcW w:w="1852" w:type="pct"/>
            <w:tcMar>
              <w:top w:w="15" w:type="dxa"/>
              <w:left w:w="45" w:type="dxa"/>
              <w:bottom w:w="15" w:type="dxa"/>
              <w:right w:w="45" w:type="dxa"/>
            </w:tcMar>
            <w:vAlign w:val="center"/>
            <w:hideMark/>
          </w:tcPr>
          <w:p w:rsidR="00346CE4" w:rsidRPr="00346CE4" w:rsidRDefault="00346CE4" w:rsidP="00346CE4">
            <w:pPr>
              <w:ind w:firstLine="0"/>
              <w:jc w:val="center"/>
              <w:rPr>
                <w:b/>
                <w:bCs/>
                <w:sz w:val="24"/>
                <w:szCs w:val="24"/>
              </w:rPr>
            </w:pPr>
            <w:proofErr w:type="spellStart"/>
            <w:r w:rsidRPr="00346CE4">
              <w:rPr>
                <w:b/>
                <w:bCs/>
                <w:sz w:val="24"/>
                <w:szCs w:val="24"/>
              </w:rPr>
              <w:t>Acţiuni</w:t>
            </w:r>
            <w:proofErr w:type="spellEnd"/>
          </w:p>
          <w:p w:rsidR="00346CE4" w:rsidRPr="00346CE4" w:rsidRDefault="00346CE4" w:rsidP="00346CE4">
            <w:pPr>
              <w:ind w:firstLine="0"/>
              <w:jc w:val="center"/>
              <w:rPr>
                <w:b/>
                <w:bCs/>
                <w:sz w:val="24"/>
                <w:szCs w:val="24"/>
              </w:rPr>
            </w:pPr>
          </w:p>
        </w:tc>
        <w:tc>
          <w:tcPr>
            <w:tcW w:w="541" w:type="pct"/>
            <w:vAlign w:val="center"/>
          </w:tcPr>
          <w:p w:rsidR="00346CE4" w:rsidRPr="00346CE4" w:rsidRDefault="00346CE4" w:rsidP="00346CE4">
            <w:pPr>
              <w:ind w:firstLine="0"/>
              <w:jc w:val="center"/>
              <w:rPr>
                <w:b/>
                <w:bCs/>
                <w:sz w:val="24"/>
                <w:szCs w:val="24"/>
              </w:rPr>
            </w:pPr>
            <w:r w:rsidRPr="00346CE4">
              <w:rPr>
                <w:b/>
                <w:bCs/>
                <w:sz w:val="24"/>
                <w:szCs w:val="24"/>
              </w:rPr>
              <w:t>Indicatori</w:t>
            </w:r>
          </w:p>
          <w:p w:rsidR="00346CE4" w:rsidRPr="00346CE4" w:rsidRDefault="00346CE4" w:rsidP="00346CE4">
            <w:pPr>
              <w:ind w:firstLine="0"/>
              <w:jc w:val="center"/>
              <w:rPr>
                <w:b/>
                <w:bCs/>
                <w:sz w:val="24"/>
                <w:szCs w:val="24"/>
              </w:rPr>
            </w:pPr>
            <w:r w:rsidRPr="00346CE4">
              <w:rPr>
                <w:b/>
                <w:bCs/>
                <w:sz w:val="24"/>
                <w:szCs w:val="24"/>
              </w:rPr>
              <w:t>de monitorizare</w:t>
            </w:r>
          </w:p>
        </w:tc>
        <w:tc>
          <w:tcPr>
            <w:tcW w:w="586" w:type="pct"/>
            <w:tcMar>
              <w:top w:w="15" w:type="dxa"/>
              <w:left w:w="45" w:type="dxa"/>
              <w:bottom w:w="15" w:type="dxa"/>
              <w:right w:w="45" w:type="dxa"/>
            </w:tcMar>
            <w:vAlign w:val="center"/>
            <w:hideMark/>
          </w:tcPr>
          <w:p w:rsidR="00346CE4" w:rsidRPr="00346CE4" w:rsidRDefault="00346CE4" w:rsidP="00346CE4">
            <w:pPr>
              <w:ind w:firstLine="0"/>
              <w:jc w:val="center"/>
              <w:rPr>
                <w:b/>
                <w:bCs/>
                <w:sz w:val="24"/>
                <w:szCs w:val="24"/>
              </w:rPr>
            </w:pPr>
            <w:r w:rsidRPr="00346CE4">
              <w:rPr>
                <w:b/>
                <w:bCs/>
                <w:sz w:val="24"/>
                <w:szCs w:val="24"/>
              </w:rPr>
              <w:t>Costul de</w:t>
            </w:r>
          </w:p>
          <w:p w:rsidR="00346CE4" w:rsidRPr="00346CE4" w:rsidRDefault="00346CE4" w:rsidP="00346CE4">
            <w:pPr>
              <w:ind w:firstLine="0"/>
              <w:jc w:val="center"/>
              <w:rPr>
                <w:b/>
                <w:bCs/>
                <w:sz w:val="24"/>
                <w:szCs w:val="24"/>
              </w:rPr>
            </w:pPr>
            <w:r w:rsidRPr="00346CE4">
              <w:rPr>
                <w:b/>
                <w:bCs/>
                <w:sz w:val="24"/>
                <w:szCs w:val="24"/>
              </w:rPr>
              <w:t>Implementare</w:t>
            </w:r>
          </w:p>
        </w:tc>
        <w:tc>
          <w:tcPr>
            <w:tcW w:w="438" w:type="pct"/>
            <w:tcMar>
              <w:top w:w="15" w:type="dxa"/>
              <w:left w:w="45" w:type="dxa"/>
              <w:bottom w:w="15" w:type="dxa"/>
              <w:right w:w="45" w:type="dxa"/>
            </w:tcMar>
            <w:vAlign w:val="center"/>
            <w:hideMark/>
          </w:tcPr>
          <w:p w:rsidR="00346CE4" w:rsidRPr="00346CE4" w:rsidRDefault="00346CE4" w:rsidP="00346CE4">
            <w:pPr>
              <w:ind w:firstLine="0"/>
              <w:jc w:val="center"/>
              <w:rPr>
                <w:b/>
                <w:bCs/>
                <w:sz w:val="24"/>
                <w:szCs w:val="24"/>
              </w:rPr>
            </w:pPr>
            <w:r w:rsidRPr="00346CE4">
              <w:rPr>
                <w:b/>
                <w:bCs/>
                <w:sz w:val="24"/>
                <w:szCs w:val="24"/>
              </w:rPr>
              <w:t>Termen</w:t>
            </w:r>
          </w:p>
          <w:p w:rsidR="00346CE4" w:rsidRPr="00346CE4" w:rsidRDefault="00346CE4" w:rsidP="00346CE4">
            <w:pPr>
              <w:ind w:firstLine="0"/>
              <w:jc w:val="center"/>
              <w:rPr>
                <w:b/>
                <w:bCs/>
                <w:sz w:val="24"/>
                <w:szCs w:val="24"/>
              </w:rPr>
            </w:pPr>
            <w:r w:rsidRPr="00346CE4">
              <w:rPr>
                <w:b/>
                <w:bCs/>
                <w:sz w:val="24"/>
                <w:szCs w:val="24"/>
              </w:rPr>
              <w:t>de realizare</w:t>
            </w:r>
          </w:p>
        </w:tc>
        <w:tc>
          <w:tcPr>
            <w:tcW w:w="623" w:type="pct"/>
            <w:tcMar>
              <w:top w:w="15" w:type="dxa"/>
              <w:left w:w="45" w:type="dxa"/>
              <w:bottom w:w="15" w:type="dxa"/>
              <w:right w:w="45" w:type="dxa"/>
            </w:tcMar>
            <w:vAlign w:val="center"/>
            <w:hideMark/>
          </w:tcPr>
          <w:p w:rsidR="00346CE4" w:rsidRPr="00346CE4" w:rsidRDefault="00346CE4" w:rsidP="00346CE4">
            <w:pPr>
              <w:ind w:firstLine="0"/>
              <w:jc w:val="center"/>
              <w:rPr>
                <w:b/>
                <w:bCs/>
                <w:sz w:val="24"/>
                <w:szCs w:val="24"/>
              </w:rPr>
            </w:pPr>
            <w:r w:rsidRPr="00346CE4">
              <w:rPr>
                <w:b/>
                <w:bCs/>
                <w:sz w:val="24"/>
                <w:szCs w:val="24"/>
              </w:rPr>
              <w:t>Instituție responsabilă</w:t>
            </w:r>
          </w:p>
        </w:tc>
        <w:tc>
          <w:tcPr>
            <w:tcW w:w="762" w:type="pct"/>
            <w:tcMar>
              <w:top w:w="15" w:type="dxa"/>
              <w:left w:w="45" w:type="dxa"/>
              <w:bottom w:w="15" w:type="dxa"/>
              <w:right w:w="45" w:type="dxa"/>
            </w:tcMar>
            <w:vAlign w:val="center"/>
            <w:hideMark/>
          </w:tcPr>
          <w:p w:rsidR="00346CE4" w:rsidRPr="00346CE4" w:rsidRDefault="00346CE4" w:rsidP="00346CE4">
            <w:pPr>
              <w:ind w:firstLine="0"/>
              <w:jc w:val="center"/>
              <w:rPr>
                <w:b/>
                <w:bCs/>
                <w:sz w:val="24"/>
                <w:szCs w:val="24"/>
              </w:rPr>
            </w:pPr>
            <w:r w:rsidRPr="00346CE4">
              <w:rPr>
                <w:b/>
                <w:bCs/>
                <w:sz w:val="24"/>
                <w:szCs w:val="24"/>
              </w:rPr>
              <w:t>Parteneri</w:t>
            </w:r>
          </w:p>
          <w:p w:rsidR="00346CE4" w:rsidRPr="00346CE4" w:rsidRDefault="00346CE4" w:rsidP="00346CE4">
            <w:pPr>
              <w:ind w:firstLine="0"/>
              <w:jc w:val="center"/>
              <w:rPr>
                <w:b/>
                <w:bCs/>
                <w:sz w:val="24"/>
                <w:szCs w:val="24"/>
              </w:rPr>
            </w:pPr>
          </w:p>
        </w:tc>
      </w:tr>
    </w:tbl>
    <w:p w:rsidR="00346CE4" w:rsidRPr="00346CE4" w:rsidRDefault="00346CE4" w:rsidP="00346CE4">
      <w:pPr>
        <w:rPr>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576"/>
        <w:gridCol w:w="5391"/>
        <w:gridCol w:w="1575"/>
        <w:gridCol w:w="1706"/>
        <w:gridCol w:w="1275"/>
        <w:gridCol w:w="1813"/>
        <w:gridCol w:w="2218"/>
      </w:tblGrid>
      <w:tr w:rsidR="00346CE4" w:rsidRPr="00346CE4" w:rsidTr="0068170A">
        <w:trPr>
          <w:trHeight w:val="20"/>
          <w:tblHeader/>
          <w:jc w:val="center"/>
        </w:trPr>
        <w:tc>
          <w:tcPr>
            <w:tcW w:w="19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1</w:t>
            </w:r>
          </w:p>
        </w:tc>
        <w:tc>
          <w:tcPr>
            <w:tcW w:w="185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2</w:t>
            </w:r>
          </w:p>
        </w:tc>
        <w:tc>
          <w:tcPr>
            <w:tcW w:w="541" w:type="pct"/>
            <w:tcBorders>
              <w:top w:val="single" w:sz="4" w:space="0" w:color="auto"/>
              <w:left w:val="single" w:sz="6" w:space="0" w:color="000000"/>
              <w:bottom w:val="single" w:sz="6" w:space="0" w:color="000000"/>
              <w:right w:val="single" w:sz="6" w:space="0" w:color="000000"/>
            </w:tcBorders>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3</w:t>
            </w:r>
          </w:p>
        </w:tc>
        <w:tc>
          <w:tcPr>
            <w:tcW w:w="586"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4</w:t>
            </w:r>
          </w:p>
        </w:tc>
        <w:tc>
          <w:tcPr>
            <w:tcW w:w="43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5</w:t>
            </w:r>
          </w:p>
        </w:tc>
        <w:tc>
          <w:tcPr>
            <w:tcW w:w="623"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6</w:t>
            </w:r>
          </w:p>
        </w:tc>
        <w:tc>
          <w:tcPr>
            <w:tcW w:w="76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center"/>
              <w:rPr>
                <w:b/>
                <w:bCs/>
                <w:sz w:val="24"/>
                <w:szCs w:val="24"/>
              </w:rPr>
            </w:pPr>
          </w:p>
          <w:p w:rsidR="00346CE4" w:rsidRPr="00346CE4" w:rsidRDefault="00346CE4" w:rsidP="00346CE4">
            <w:pPr>
              <w:ind w:firstLine="0"/>
              <w:jc w:val="center"/>
              <w:rPr>
                <w:b/>
                <w:bCs/>
                <w:sz w:val="24"/>
                <w:szCs w:val="24"/>
              </w:rPr>
            </w:pPr>
            <w:r w:rsidRPr="00346CE4">
              <w:rPr>
                <w:b/>
                <w:bCs/>
                <w:sz w:val="24"/>
                <w:szCs w:val="24"/>
              </w:rPr>
              <w:t>7</w:t>
            </w:r>
          </w:p>
        </w:tc>
      </w:tr>
      <w:tr w:rsidR="00346CE4" w:rsidRPr="00346CE4" w:rsidTr="0068170A">
        <w:trPr>
          <w:trHeight w:val="5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346CE4" w:rsidRPr="00346CE4" w:rsidRDefault="00346CE4" w:rsidP="00346CE4">
            <w:pPr>
              <w:ind w:firstLine="0"/>
              <w:jc w:val="left"/>
              <w:rPr>
                <w:b/>
                <w:bCs/>
                <w:sz w:val="24"/>
                <w:szCs w:val="24"/>
              </w:rPr>
            </w:pPr>
            <w:r w:rsidRPr="00346CE4">
              <w:rPr>
                <w:b/>
                <w:bCs/>
                <w:sz w:val="24"/>
                <w:szCs w:val="24"/>
              </w:rPr>
              <w:t xml:space="preserve">Obiectivul 1: crearea condițiilor pentru asigurarea continuității activității furnizorilor existenți de rețele și/sau servicii de comunicații electronice mobile după expirarea termenului de valabilitate a licențelor existente în benzile 450 MHz, </w:t>
            </w:r>
            <w:r w:rsidRPr="00346CE4">
              <w:rPr>
                <w:b/>
                <w:sz w:val="24"/>
                <w:szCs w:val="24"/>
              </w:rPr>
              <w:t>E900 MHz</w:t>
            </w:r>
            <w:r w:rsidRPr="00346CE4">
              <w:rPr>
                <w:b/>
                <w:bCs/>
                <w:sz w:val="24"/>
                <w:szCs w:val="24"/>
              </w:rPr>
              <w:t xml:space="preserve"> și 2600 MHz în condiții transparente și nediscriminatorii</w:t>
            </w:r>
          </w:p>
        </w:tc>
      </w:tr>
      <w:tr w:rsidR="00346CE4" w:rsidRPr="00346CE4" w:rsidTr="0068170A">
        <w:trPr>
          <w:trHeight w:val="1322"/>
          <w:jc w:val="center"/>
        </w:trPr>
        <w:tc>
          <w:tcPr>
            <w:tcW w:w="19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1.1</w:t>
            </w:r>
          </w:p>
        </w:tc>
        <w:tc>
          <w:tcPr>
            <w:tcW w:w="1852"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Oferirea suportului pentru modificarea cu acordul titularilor actuali de drepturi de utilizare a frecvențelor a condițiilor speciale-tip ale licenței de utilizare a canalelor sau a frecvențelor radio prin introducerea actualizărilor și precizărilor de rigoare, astfel încât acestea să ofere titularilor dreptul de a reutiliza benzile pentru tehnologii mai noi față de sistemele actuale în aceste benzi</w:t>
            </w:r>
          </w:p>
        </w:tc>
        <w:tc>
          <w:tcPr>
            <w:tcW w:w="541" w:type="pct"/>
            <w:tcBorders>
              <w:top w:val="single" w:sz="6" w:space="0" w:color="000000"/>
              <w:left w:val="single" w:sz="6" w:space="0" w:color="000000"/>
              <w:bottom w:val="single" w:sz="4" w:space="0" w:color="auto"/>
              <w:right w:val="single" w:sz="6" w:space="0" w:color="000000"/>
            </w:tcBorders>
          </w:tcPr>
          <w:p w:rsidR="00346CE4" w:rsidRPr="00346CE4" w:rsidRDefault="00346CE4" w:rsidP="00346CE4">
            <w:pPr>
              <w:ind w:firstLine="0"/>
              <w:rPr>
                <w:sz w:val="24"/>
                <w:szCs w:val="24"/>
              </w:rPr>
            </w:pPr>
            <w:r w:rsidRPr="00346CE4">
              <w:rPr>
                <w:sz w:val="24"/>
                <w:szCs w:val="24"/>
              </w:rPr>
              <w:t>Condiții de licență aprobate de autoritatea - partener</w:t>
            </w:r>
          </w:p>
        </w:tc>
        <w:tc>
          <w:tcPr>
            <w:tcW w:w="586"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w:t>
            </w:r>
          </w:p>
          <w:p w:rsidR="00346CE4" w:rsidRPr="00346CE4" w:rsidRDefault="00346CE4" w:rsidP="00346CE4">
            <w:pPr>
              <w:ind w:firstLine="0"/>
              <w:jc w:val="center"/>
              <w:rPr>
                <w:sz w:val="24"/>
                <w:szCs w:val="24"/>
              </w:rPr>
            </w:pPr>
            <w:r w:rsidRPr="00346CE4">
              <w:rPr>
                <w:sz w:val="24"/>
                <w:szCs w:val="24"/>
              </w:rPr>
              <w:t>2021</w:t>
            </w:r>
          </w:p>
        </w:tc>
        <w:tc>
          <w:tcPr>
            <w:tcW w:w="623"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Ministerul Economiei și Infrastructurii;</w:t>
            </w:r>
          </w:p>
          <w:p w:rsidR="00346CE4" w:rsidRPr="00346CE4" w:rsidRDefault="00346CE4" w:rsidP="00346CE4">
            <w:pPr>
              <w:ind w:firstLine="0"/>
              <w:jc w:val="left"/>
              <w:rPr>
                <w:sz w:val="24"/>
                <w:szCs w:val="24"/>
              </w:rPr>
            </w:pPr>
            <w:r w:rsidRPr="00346CE4">
              <w:rPr>
                <w:sz w:val="24"/>
                <w:szCs w:val="24"/>
              </w:rPr>
              <w:t>I.P. Serviciul Național de Management al Frecvențelor Radio</w:t>
            </w:r>
          </w:p>
        </w:tc>
        <w:tc>
          <w:tcPr>
            <w:tcW w:w="762" w:type="pct"/>
            <w:tcBorders>
              <w:top w:val="single" w:sz="6" w:space="0" w:color="000000"/>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1208"/>
          <w:jc w:val="center"/>
        </w:trPr>
        <w:tc>
          <w:tcPr>
            <w:tcW w:w="19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1.2</w:t>
            </w:r>
          </w:p>
        </w:tc>
        <w:tc>
          <w:tcPr>
            <w:tcW w:w="185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 xml:space="preserve">Oferirea suportului pentru elaborarea documentelor concursului privind eliberarea </w:t>
            </w:r>
            <w:proofErr w:type="spellStart"/>
            <w:r w:rsidRPr="00346CE4">
              <w:rPr>
                <w:sz w:val="24"/>
                <w:szCs w:val="24"/>
              </w:rPr>
              <w:t>licenţelor</w:t>
            </w:r>
            <w:proofErr w:type="spellEnd"/>
            <w:r w:rsidRPr="00346CE4">
              <w:rPr>
                <w:sz w:val="24"/>
                <w:szCs w:val="24"/>
              </w:rPr>
              <w:t xml:space="preserve"> pentru dreptul de utilizare a resurselor de spectru radio din banda de frecvență 450 MHz, precum și a resurselor de frecvențe în benzile E900 MHz, 2600 MHz rămase disponibile către această dată, pentru a fi posibilă </w:t>
            </w:r>
            <w:proofErr w:type="spellStart"/>
            <w:r w:rsidRPr="00346CE4">
              <w:rPr>
                <w:sz w:val="24"/>
                <w:szCs w:val="24"/>
              </w:rPr>
              <w:t>desfăşurarea</w:t>
            </w:r>
            <w:proofErr w:type="spellEnd"/>
            <w:r w:rsidRPr="00346CE4">
              <w:rPr>
                <w:sz w:val="24"/>
                <w:szCs w:val="24"/>
              </w:rPr>
              <w:t xml:space="preserve"> concursului în trimestrul II, 2021</w:t>
            </w:r>
          </w:p>
        </w:tc>
        <w:tc>
          <w:tcPr>
            <w:tcW w:w="541" w:type="pct"/>
            <w:tcBorders>
              <w:top w:val="single" w:sz="4" w:space="0" w:color="auto"/>
              <w:left w:val="single" w:sz="6" w:space="0" w:color="000000"/>
              <w:bottom w:val="single" w:sz="4" w:space="0" w:color="auto"/>
              <w:right w:val="single" w:sz="6" w:space="0" w:color="000000"/>
            </w:tcBorders>
          </w:tcPr>
          <w:p w:rsidR="00346CE4" w:rsidRPr="00346CE4" w:rsidRDefault="00346CE4" w:rsidP="00346CE4">
            <w:pPr>
              <w:ind w:firstLine="0"/>
              <w:rPr>
                <w:sz w:val="24"/>
                <w:szCs w:val="24"/>
              </w:rPr>
            </w:pPr>
            <w:r w:rsidRPr="00346CE4">
              <w:rPr>
                <w:sz w:val="24"/>
                <w:szCs w:val="24"/>
              </w:rPr>
              <w:t>Documente de concurs aprobate de autoritatea - partener</w:t>
            </w:r>
          </w:p>
        </w:tc>
        <w:tc>
          <w:tcPr>
            <w:tcW w:w="586"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w:t>
            </w:r>
          </w:p>
          <w:p w:rsidR="00346CE4" w:rsidRPr="00346CE4" w:rsidRDefault="00346CE4" w:rsidP="00346CE4">
            <w:pPr>
              <w:ind w:firstLine="0"/>
              <w:jc w:val="center"/>
              <w:rPr>
                <w:sz w:val="24"/>
                <w:szCs w:val="24"/>
              </w:rPr>
            </w:pPr>
            <w:r w:rsidRPr="00346CE4">
              <w:rPr>
                <w:sz w:val="24"/>
                <w:szCs w:val="24"/>
              </w:rPr>
              <w:t>2021</w:t>
            </w:r>
          </w:p>
        </w:tc>
        <w:tc>
          <w:tcPr>
            <w:tcW w:w="623"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Ministerul Economiei și Infrastructurii;</w:t>
            </w:r>
          </w:p>
          <w:p w:rsidR="00346CE4" w:rsidRPr="00346CE4" w:rsidRDefault="00346CE4" w:rsidP="00346CE4">
            <w:pPr>
              <w:ind w:firstLine="0"/>
              <w:jc w:val="left"/>
              <w:rPr>
                <w:sz w:val="24"/>
                <w:szCs w:val="24"/>
              </w:rPr>
            </w:pPr>
            <w:r w:rsidRPr="00346CE4">
              <w:rPr>
                <w:sz w:val="24"/>
                <w:szCs w:val="24"/>
              </w:rPr>
              <w:t>I.P. Serviciul Național de Management al Frecvențelor Radio</w:t>
            </w:r>
          </w:p>
        </w:tc>
        <w:tc>
          <w:tcPr>
            <w:tcW w:w="76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519"/>
          <w:jc w:val="center"/>
        </w:trPr>
        <w:tc>
          <w:tcPr>
            <w:tcW w:w="5000" w:type="pct"/>
            <w:gridSpan w:val="7"/>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vAlign w:val="center"/>
          </w:tcPr>
          <w:p w:rsidR="00346CE4" w:rsidRPr="00346CE4" w:rsidRDefault="00346CE4" w:rsidP="00346CE4">
            <w:pPr>
              <w:ind w:firstLine="0"/>
              <w:jc w:val="left"/>
              <w:rPr>
                <w:b/>
                <w:sz w:val="24"/>
                <w:szCs w:val="24"/>
              </w:rPr>
            </w:pPr>
            <w:r w:rsidRPr="00346CE4">
              <w:rPr>
                <w:b/>
                <w:bCs/>
                <w:sz w:val="24"/>
                <w:szCs w:val="24"/>
              </w:rPr>
              <w:t>Obiectivul 2:</w:t>
            </w:r>
            <w:r w:rsidRPr="00346CE4" w:rsidDel="00051586">
              <w:rPr>
                <w:b/>
                <w:sz w:val="24"/>
                <w:szCs w:val="24"/>
              </w:rPr>
              <w:t xml:space="preserve"> </w:t>
            </w:r>
            <w:r w:rsidRPr="00346CE4">
              <w:rPr>
                <w:b/>
                <w:sz w:val="24"/>
                <w:szCs w:val="24"/>
              </w:rPr>
              <w:t>punerea până în anul 2025 la dispoziția pieței de comunicații electronice mobile a tuturor resurselor de spectru în benzile de frecvențe 700 MHz, E900 MHz, 1500 MHz, 2100 MHz, 2300 MHz, 2600 MHz, 3600 MHz, 26 GHz, pentru implementarea tehnologiilor avansate de comunicații mobile 4G, 5G, în condiții de neutralitate tehnologică</w:t>
            </w:r>
          </w:p>
        </w:tc>
      </w:tr>
      <w:tr w:rsidR="00346CE4" w:rsidRPr="00346CE4" w:rsidTr="0068170A">
        <w:trPr>
          <w:trHeight w:val="406"/>
          <w:jc w:val="center"/>
        </w:trPr>
        <w:tc>
          <w:tcPr>
            <w:tcW w:w="19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lastRenderedPageBreak/>
              <w:t>2.2</w:t>
            </w:r>
          </w:p>
        </w:tc>
        <w:tc>
          <w:tcPr>
            <w:tcW w:w="185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 xml:space="preserve">Oferirea suportului pentru elaborarea documentelor concursului privind eliberarea </w:t>
            </w:r>
            <w:proofErr w:type="spellStart"/>
            <w:r w:rsidRPr="00346CE4">
              <w:rPr>
                <w:sz w:val="24"/>
                <w:szCs w:val="24"/>
              </w:rPr>
              <w:t>licenţelor</w:t>
            </w:r>
            <w:proofErr w:type="spellEnd"/>
            <w:r w:rsidRPr="00346CE4">
              <w:rPr>
                <w:sz w:val="24"/>
                <w:szCs w:val="24"/>
              </w:rPr>
              <w:t xml:space="preserve"> pentru dreptul de utilizare a resurselor de spectru radio din benzile de frecvență 700 MHz și 3600 MHz, precum și a oricăror alte resurse de frecvențe în benzile E900 MHz și 2600 MHz rămase disponibile către această dată, pentru a fi posibilă </w:t>
            </w:r>
            <w:proofErr w:type="spellStart"/>
            <w:r w:rsidRPr="00346CE4">
              <w:rPr>
                <w:sz w:val="24"/>
                <w:szCs w:val="24"/>
              </w:rPr>
              <w:t>desfăşurarea</w:t>
            </w:r>
            <w:proofErr w:type="spellEnd"/>
            <w:r w:rsidRPr="00346CE4">
              <w:rPr>
                <w:sz w:val="24"/>
                <w:szCs w:val="24"/>
              </w:rPr>
              <w:t xml:space="preserve"> concursului în trimestrul III, 2022</w:t>
            </w:r>
          </w:p>
        </w:tc>
        <w:tc>
          <w:tcPr>
            <w:tcW w:w="541" w:type="pct"/>
            <w:tcBorders>
              <w:top w:val="single" w:sz="4" w:space="0" w:color="auto"/>
              <w:left w:val="single" w:sz="6" w:space="0" w:color="000000"/>
              <w:bottom w:val="single" w:sz="4" w:space="0" w:color="auto"/>
              <w:right w:val="single" w:sz="6" w:space="0" w:color="000000"/>
            </w:tcBorders>
          </w:tcPr>
          <w:p w:rsidR="00346CE4" w:rsidRPr="00346CE4" w:rsidRDefault="00346CE4" w:rsidP="00346CE4">
            <w:pPr>
              <w:ind w:firstLine="0"/>
              <w:rPr>
                <w:sz w:val="24"/>
                <w:szCs w:val="24"/>
              </w:rPr>
            </w:pPr>
            <w:r w:rsidRPr="00346CE4">
              <w:rPr>
                <w:sz w:val="24"/>
                <w:szCs w:val="24"/>
              </w:rPr>
              <w:t>Documente de concurs aprobate de autoritatea - partener</w:t>
            </w:r>
          </w:p>
        </w:tc>
        <w:tc>
          <w:tcPr>
            <w:tcW w:w="586"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II</w:t>
            </w:r>
          </w:p>
          <w:p w:rsidR="00346CE4" w:rsidRPr="00346CE4" w:rsidRDefault="00346CE4" w:rsidP="00346CE4">
            <w:pPr>
              <w:ind w:firstLine="0"/>
              <w:jc w:val="center"/>
              <w:rPr>
                <w:sz w:val="24"/>
                <w:szCs w:val="24"/>
              </w:rPr>
            </w:pPr>
            <w:r w:rsidRPr="00346CE4">
              <w:rPr>
                <w:sz w:val="24"/>
                <w:szCs w:val="24"/>
              </w:rPr>
              <w:t>2022</w:t>
            </w:r>
          </w:p>
        </w:tc>
        <w:tc>
          <w:tcPr>
            <w:tcW w:w="623"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Ministerul Economiei și Infrastructurii;</w:t>
            </w:r>
          </w:p>
          <w:p w:rsidR="00346CE4" w:rsidRPr="00346CE4" w:rsidRDefault="00346CE4" w:rsidP="00346CE4">
            <w:pPr>
              <w:ind w:firstLine="0"/>
              <w:jc w:val="left"/>
              <w:rPr>
                <w:sz w:val="24"/>
                <w:szCs w:val="24"/>
              </w:rPr>
            </w:pPr>
            <w:r w:rsidRPr="00346CE4">
              <w:rPr>
                <w:sz w:val="24"/>
                <w:szCs w:val="24"/>
              </w:rPr>
              <w:t>I.P. Serviciul Național de Management al Frecvențelor Radio</w:t>
            </w:r>
          </w:p>
        </w:tc>
        <w:tc>
          <w:tcPr>
            <w:tcW w:w="76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1030"/>
          <w:jc w:val="center"/>
        </w:trPr>
        <w:tc>
          <w:tcPr>
            <w:tcW w:w="19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2.3</w:t>
            </w:r>
          </w:p>
        </w:tc>
        <w:tc>
          <w:tcPr>
            <w:tcW w:w="185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 xml:space="preserve">Oferirea suportului pentru stabilirea măsurilor privind sincronizarea termenelor de valabilitate a </w:t>
            </w:r>
            <w:proofErr w:type="spellStart"/>
            <w:r w:rsidRPr="00346CE4">
              <w:rPr>
                <w:sz w:val="24"/>
                <w:szCs w:val="24"/>
              </w:rPr>
              <w:t>licenţelor</w:t>
            </w:r>
            <w:proofErr w:type="spellEnd"/>
            <w:r w:rsidRPr="00346CE4">
              <w:rPr>
                <w:sz w:val="24"/>
                <w:szCs w:val="24"/>
              </w:rPr>
              <w:t xml:space="preserve"> </w:t>
            </w:r>
            <w:proofErr w:type="spellStart"/>
            <w:r w:rsidRPr="00346CE4">
              <w:rPr>
                <w:sz w:val="24"/>
                <w:szCs w:val="24"/>
              </w:rPr>
              <w:t>deţinute</w:t>
            </w:r>
            <w:proofErr w:type="spellEnd"/>
            <w:r w:rsidRPr="00346CE4">
              <w:rPr>
                <w:sz w:val="24"/>
                <w:szCs w:val="24"/>
              </w:rPr>
              <w:t xml:space="preserve"> de Î.M. ,,</w:t>
            </w:r>
            <w:proofErr w:type="spellStart"/>
            <w:r w:rsidRPr="00346CE4">
              <w:rPr>
                <w:sz w:val="24"/>
                <w:szCs w:val="24"/>
              </w:rPr>
              <w:t>Moldcell</w:t>
            </w:r>
            <w:proofErr w:type="spellEnd"/>
            <w:r w:rsidRPr="00346CE4">
              <w:rPr>
                <w:sz w:val="24"/>
                <w:szCs w:val="24"/>
              </w:rPr>
              <w:t>” S.A., Î.M. ,,Orange Moldova” S.A. și „</w:t>
            </w:r>
            <w:proofErr w:type="spellStart"/>
            <w:r w:rsidRPr="00346CE4">
              <w:rPr>
                <w:sz w:val="24"/>
                <w:szCs w:val="24"/>
              </w:rPr>
              <w:t>Moldtelecom</w:t>
            </w:r>
            <w:proofErr w:type="spellEnd"/>
            <w:r w:rsidRPr="00346CE4">
              <w:rPr>
                <w:sz w:val="24"/>
                <w:szCs w:val="24"/>
              </w:rPr>
              <w:t>” S.A. în banda 2100 MHz</w:t>
            </w:r>
          </w:p>
        </w:tc>
        <w:tc>
          <w:tcPr>
            <w:tcW w:w="541" w:type="pct"/>
            <w:tcBorders>
              <w:top w:val="single" w:sz="4" w:space="0" w:color="auto"/>
              <w:left w:val="single" w:sz="6" w:space="0" w:color="000000"/>
              <w:bottom w:val="single" w:sz="4" w:space="0" w:color="auto"/>
              <w:right w:val="single" w:sz="6" w:space="0" w:color="000000"/>
            </w:tcBorders>
          </w:tcPr>
          <w:p w:rsidR="00346CE4" w:rsidRPr="00346CE4" w:rsidRDefault="00346CE4" w:rsidP="00346CE4">
            <w:pPr>
              <w:ind w:firstLine="0"/>
              <w:rPr>
                <w:sz w:val="24"/>
                <w:szCs w:val="24"/>
              </w:rPr>
            </w:pPr>
            <w:r w:rsidRPr="00346CE4">
              <w:rPr>
                <w:sz w:val="24"/>
                <w:szCs w:val="24"/>
              </w:rPr>
              <w:t>Condiții de licență aprobate de autoritatea -</w:t>
            </w:r>
          </w:p>
          <w:p w:rsidR="00346CE4" w:rsidRPr="00346CE4" w:rsidRDefault="00346CE4" w:rsidP="00346CE4">
            <w:pPr>
              <w:ind w:firstLine="0"/>
              <w:rPr>
                <w:sz w:val="24"/>
                <w:szCs w:val="24"/>
              </w:rPr>
            </w:pPr>
            <w:r w:rsidRPr="00346CE4">
              <w:rPr>
                <w:sz w:val="24"/>
                <w:szCs w:val="24"/>
              </w:rPr>
              <w:t>Partener</w:t>
            </w:r>
          </w:p>
        </w:tc>
        <w:tc>
          <w:tcPr>
            <w:tcW w:w="586"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II</w:t>
            </w:r>
          </w:p>
          <w:p w:rsidR="00346CE4" w:rsidRPr="00346CE4" w:rsidRDefault="00346CE4" w:rsidP="00346CE4">
            <w:pPr>
              <w:ind w:firstLine="0"/>
              <w:jc w:val="center"/>
              <w:rPr>
                <w:sz w:val="24"/>
                <w:szCs w:val="24"/>
              </w:rPr>
            </w:pPr>
            <w:r w:rsidRPr="00346CE4">
              <w:rPr>
                <w:sz w:val="24"/>
                <w:szCs w:val="24"/>
              </w:rPr>
              <w:t>2023</w:t>
            </w:r>
          </w:p>
        </w:tc>
        <w:tc>
          <w:tcPr>
            <w:tcW w:w="623"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 xml:space="preserve">Ministerul Economiei și Infrastructurii; </w:t>
            </w:r>
          </w:p>
          <w:p w:rsidR="00346CE4" w:rsidRPr="00346CE4" w:rsidRDefault="00346CE4" w:rsidP="00346CE4">
            <w:pPr>
              <w:ind w:firstLine="0"/>
              <w:jc w:val="left"/>
              <w:rPr>
                <w:sz w:val="24"/>
                <w:szCs w:val="24"/>
              </w:rPr>
            </w:pPr>
            <w:r w:rsidRPr="00346CE4">
              <w:rPr>
                <w:sz w:val="24"/>
                <w:szCs w:val="24"/>
              </w:rPr>
              <w:t>I.P. Serviciul Național de Management al Frecvențelor Radio</w:t>
            </w:r>
          </w:p>
        </w:tc>
        <w:tc>
          <w:tcPr>
            <w:tcW w:w="76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1346"/>
          <w:jc w:val="center"/>
        </w:trPr>
        <w:tc>
          <w:tcPr>
            <w:tcW w:w="198"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2.4</w:t>
            </w:r>
          </w:p>
        </w:tc>
        <w:tc>
          <w:tcPr>
            <w:tcW w:w="185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 xml:space="preserve">Oferirea suportului pentru elaborarea documentelor concursului privind eliberarea licențelor pentru dreptul de utilizare a resurselor de spectru radio în banda de frecvențe 2100 MHz și a celorlalte resurse de frecvențe în benzile 700 MHz, E900 MHz, 2600 MHz, 3600 MHz rămase disponibile către această dată, pentru a fi posibilă </w:t>
            </w:r>
            <w:proofErr w:type="spellStart"/>
            <w:r w:rsidRPr="00346CE4">
              <w:rPr>
                <w:sz w:val="24"/>
                <w:szCs w:val="24"/>
              </w:rPr>
              <w:t>desfăşurarea</w:t>
            </w:r>
            <w:proofErr w:type="spellEnd"/>
            <w:r w:rsidRPr="00346CE4">
              <w:rPr>
                <w:sz w:val="24"/>
                <w:szCs w:val="24"/>
              </w:rPr>
              <w:t xml:space="preserve"> concursului în trimestrul IV, 2022</w:t>
            </w:r>
          </w:p>
        </w:tc>
        <w:tc>
          <w:tcPr>
            <w:tcW w:w="541" w:type="pct"/>
            <w:tcBorders>
              <w:top w:val="single" w:sz="4" w:space="0" w:color="auto"/>
              <w:left w:val="single" w:sz="6" w:space="0" w:color="000000"/>
              <w:bottom w:val="single" w:sz="4" w:space="0" w:color="auto"/>
              <w:right w:val="single" w:sz="6" w:space="0" w:color="000000"/>
            </w:tcBorders>
          </w:tcPr>
          <w:p w:rsidR="00346CE4" w:rsidRPr="00346CE4" w:rsidRDefault="00346CE4" w:rsidP="00346CE4">
            <w:pPr>
              <w:ind w:firstLine="0"/>
              <w:rPr>
                <w:sz w:val="24"/>
                <w:szCs w:val="24"/>
              </w:rPr>
            </w:pPr>
            <w:r w:rsidRPr="00346CE4">
              <w:rPr>
                <w:sz w:val="24"/>
                <w:szCs w:val="24"/>
              </w:rPr>
              <w:t>Documente de concurs aprobate de autoritatea – partener</w:t>
            </w:r>
          </w:p>
        </w:tc>
        <w:tc>
          <w:tcPr>
            <w:tcW w:w="586"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III</w:t>
            </w:r>
          </w:p>
          <w:p w:rsidR="00346CE4" w:rsidRPr="00346CE4" w:rsidRDefault="00346CE4" w:rsidP="00346CE4">
            <w:pPr>
              <w:ind w:firstLine="0"/>
              <w:jc w:val="center"/>
              <w:rPr>
                <w:sz w:val="24"/>
                <w:szCs w:val="24"/>
              </w:rPr>
            </w:pPr>
            <w:r w:rsidRPr="00346CE4">
              <w:rPr>
                <w:sz w:val="24"/>
                <w:szCs w:val="24"/>
              </w:rPr>
              <w:t>2023</w:t>
            </w:r>
          </w:p>
        </w:tc>
        <w:tc>
          <w:tcPr>
            <w:tcW w:w="623"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 xml:space="preserve">Ministerul Economiei și Infrastructurii; </w:t>
            </w:r>
          </w:p>
          <w:p w:rsidR="00346CE4" w:rsidRPr="00346CE4" w:rsidRDefault="00346CE4" w:rsidP="00346CE4">
            <w:pPr>
              <w:ind w:firstLine="0"/>
              <w:jc w:val="left"/>
              <w:rPr>
                <w:sz w:val="24"/>
                <w:szCs w:val="24"/>
              </w:rPr>
            </w:pPr>
            <w:r w:rsidRPr="00346CE4">
              <w:rPr>
                <w:sz w:val="24"/>
                <w:szCs w:val="24"/>
              </w:rPr>
              <w:t>I.P. Serviciul Național de Management al Frecvențelor Radio</w:t>
            </w:r>
          </w:p>
        </w:tc>
        <w:tc>
          <w:tcPr>
            <w:tcW w:w="762" w:type="pct"/>
            <w:tcBorders>
              <w:top w:val="single" w:sz="4" w:space="0" w:color="auto"/>
              <w:left w:val="single" w:sz="6" w:space="0" w:color="000000"/>
              <w:bottom w:val="single" w:sz="4" w:space="0" w:color="auto"/>
              <w:right w:val="single" w:sz="6" w:space="0" w:color="000000"/>
            </w:tcBorders>
            <w:shd w:val="clear" w:color="auto" w:fill="auto"/>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340"/>
          <w:jc w:val="center"/>
        </w:trPr>
        <w:tc>
          <w:tcPr>
            <w:tcW w:w="19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2.5</w:t>
            </w:r>
          </w:p>
        </w:tc>
        <w:tc>
          <w:tcPr>
            <w:tcW w:w="185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 xml:space="preserve">Oferirea suportului pentru elaborarea documentelor concursului în vederea eliberării </w:t>
            </w:r>
            <w:proofErr w:type="spellStart"/>
            <w:r w:rsidRPr="00346CE4">
              <w:rPr>
                <w:sz w:val="24"/>
                <w:szCs w:val="24"/>
              </w:rPr>
              <w:t>licenţelor</w:t>
            </w:r>
            <w:proofErr w:type="spellEnd"/>
            <w:r w:rsidRPr="00346CE4">
              <w:rPr>
                <w:sz w:val="24"/>
                <w:szCs w:val="24"/>
              </w:rPr>
              <w:t xml:space="preserve"> pentru dreptul de utilizare a resurselor de spectru radio disponibile în benzile de frecvență 1500 MHz, 2300 MHz și 26 GHz, precum și a oricăror alte resurse prevăzute de acest Program rămase nealocate ca rezultat </w:t>
            </w:r>
            <w:r w:rsidRPr="00346CE4">
              <w:rPr>
                <w:sz w:val="24"/>
                <w:szCs w:val="24"/>
              </w:rPr>
              <w:lastRenderedPageBreak/>
              <w:t>al exercițiilor anterioare de alocare a drepturilor de utilizare a frecvențelor</w:t>
            </w:r>
          </w:p>
        </w:tc>
        <w:tc>
          <w:tcPr>
            <w:tcW w:w="541" w:type="pct"/>
            <w:tcBorders>
              <w:top w:val="single" w:sz="6" w:space="0" w:color="000000"/>
              <w:left w:val="single" w:sz="6" w:space="0" w:color="000000"/>
              <w:bottom w:val="single" w:sz="4" w:space="0" w:color="auto"/>
              <w:right w:val="single" w:sz="6" w:space="0" w:color="000000"/>
            </w:tcBorders>
          </w:tcPr>
          <w:p w:rsidR="00346CE4" w:rsidRPr="00346CE4" w:rsidRDefault="00346CE4" w:rsidP="00346CE4">
            <w:pPr>
              <w:ind w:firstLine="0"/>
              <w:rPr>
                <w:sz w:val="24"/>
                <w:szCs w:val="24"/>
              </w:rPr>
            </w:pPr>
            <w:r w:rsidRPr="00346CE4">
              <w:rPr>
                <w:sz w:val="24"/>
                <w:szCs w:val="24"/>
              </w:rPr>
              <w:lastRenderedPageBreak/>
              <w:t>Documente de concurs aprobate de autoritatea - partener</w:t>
            </w:r>
          </w:p>
        </w:tc>
        <w:tc>
          <w:tcPr>
            <w:tcW w:w="58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II</w:t>
            </w:r>
          </w:p>
          <w:p w:rsidR="00346CE4" w:rsidRPr="00346CE4" w:rsidRDefault="00346CE4" w:rsidP="00346CE4">
            <w:pPr>
              <w:ind w:firstLine="0"/>
              <w:jc w:val="center"/>
              <w:rPr>
                <w:sz w:val="24"/>
                <w:szCs w:val="24"/>
              </w:rPr>
            </w:pPr>
            <w:r w:rsidRPr="00346CE4">
              <w:rPr>
                <w:sz w:val="24"/>
                <w:szCs w:val="24"/>
              </w:rPr>
              <w:t>2024</w:t>
            </w:r>
          </w:p>
        </w:tc>
        <w:tc>
          <w:tcPr>
            <w:tcW w:w="62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Ministerul Economiei și Infrastructurii;</w:t>
            </w:r>
          </w:p>
          <w:p w:rsidR="00346CE4" w:rsidRPr="00346CE4" w:rsidDel="00051586" w:rsidRDefault="00346CE4" w:rsidP="00346CE4">
            <w:pPr>
              <w:ind w:firstLine="0"/>
              <w:jc w:val="left"/>
              <w:rPr>
                <w:sz w:val="24"/>
                <w:szCs w:val="24"/>
              </w:rPr>
            </w:pPr>
            <w:r w:rsidRPr="00346CE4">
              <w:rPr>
                <w:sz w:val="24"/>
                <w:szCs w:val="24"/>
              </w:rPr>
              <w:t xml:space="preserve">I.P. Serviciul Național de Management al </w:t>
            </w:r>
            <w:r w:rsidRPr="00346CE4">
              <w:rPr>
                <w:sz w:val="24"/>
                <w:szCs w:val="24"/>
              </w:rPr>
              <w:lastRenderedPageBreak/>
              <w:t>Frecvențelor Radio</w:t>
            </w:r>
          </w:p>
        </w:tc>
        <w:tc>
          <w:tcPr>
            <w:tcW w:w="76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46CE4" w:rsidRPr="00346CE4" w:rsidDel="00051586" w:rsidRDefault="00346CE4" w:rsidP="00346CE4">
            <w:pPr>
              <w:ind w:firstLine="0"/>
              <w:jc w:val="left"/>
              <w:rPr>
                <w:sz w:val="24"/>
                <w:szCs w:val="24"/>
              </w:rPr>
            </w:pPr>
            <w:proofErr w:type="spellStart"/>
            <w:r w:rsidRPr="00346CE4">
              <w:rPr>
                <w:sz w:val="24"/>
                <w:szCs w:val="24"/>
              </w:rPr>
              <w:lastRenderedPageBreak/>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259"/>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r w:rsidRPr="00346CE4">
              <w:rPr>
                <w:b/>
                <w:sz w:val="24"/>
                <w:szCs w:val="24"/>
              </w:rPr>
              <w:lastRenderedPageBreak/>
              <w:t>Obiectivul 3: implementarea procedurilor simple și digitalizate de autorizare a lucrărilor de construire a infrastructurii celulare dense moderne, care ar prevedea eliberarea actelor permisive numai în cazul edificării noilor construcții capitale</w:t>
            </w:r>
          </w:p>
        </w:tc>
      </w:tr>
      <w:tr w:rsidR="00346CE4" w:rsidRPr="00346CE4" w:rsidTr="0068170A">
        <w:trPr>
          <w:jc w:val="center"/>
        </w:trPr>
        <w:tc>
          <w:tcPr>
            <w:tcW w:w="1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3.1</w:t>
            </w:r>
          </w:p>
        </w:tc>
        <w:tc>
          <w:tcPr>
            <w:tcW w:w="18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Modificarea cadrului normativ în vederea simplificării procedurii de autorizare a executării lucrărilor de construcții cu privire la infrastructura fizică necesară susținerii rețelelor de comunicații electronice, inclusiv utilizarea infrastructurii fizice existente pentru desfășurarea rețelelor de comunicații electronice</w:t>
            </w:r>
          </w:p>
        </w:tc>
        <w:tc>
          <w:tcPr>
            <w:tcW w:w="541" w:type="pct"/>
            <w:tcBorders>
              <w:top w:val="single" w:sz="6" w:space="0" w:color="000000"/>
              <w:left w:val="single" w:sz="6" w:space="0" w:color="000000"/>
              <w:bottom w:val="single" w:sz="6" w:space="0" w:color="000000"/>
              <w:right w:val="single" w:sz="6" w:space="0" w:color="000000"/>
            </w:tcBorders>
          </w:tcPr>
          <w:p w:rsidR="00346CE4" w:rsidRPr="00346CE4" w:rsidRDefault="00346CE4" w:rsidP="00346CE4">
            <w:pPr>
              <w:ind w:firstLine="0"/>
              <w:rPr>
                <w:sz w:val="24"/>
                <w:szCs w:val="24"/>
              </w:rPr>
            </w:pPr>
            <w:r w:rsidRPr="00346CE4">
              <w:rPr>
                <w:sz w:val="24"/>
                <w:szCs w:val="24"/>
              </w:rPr>
              <w:t>Cadrul normativ în vigoare îmbunătățit</w:t>
            </w:r>
          </w:p>
        </w:tc>
        <w:tc>
          <w:tcPr>
            <w:tcW w:w="5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IV</w:t>
            </w:r>
          </w:p>
          <w:p w:rsidR="00346CE4" w:rsidRPr="00346CE4" w:rsidRDefault="00346CE4" w:rsidP="00346CE4">
            <w:pPr>
              <w:ind w:firstLine="0"/>
              <w:jc w:val="center"/>
              <w:rPr>
                <w:sz w:val="24"/>
                <w:szCs w:val="24"/>
              </w:rPr>
            </w:pPr>
            <w:r w:rsidRPr="00346CE4">
              <w:rPr>
                <w:sz w:val="24"/>
                <w:szCs w:val="24"/>
              </w:rPr>
              <w:t>2021</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Ministerul Economiei și Infrastructurii</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p>
        </w:tc>
      </w:tr>
      <w:tr w:rsidR="00346CE4" w:rsidRPr="00346CE4" w:rsidTr="0068170A">
        <w:trPr>
          <w:trHeight w:val="263"/>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r w:rsidRPr="00346CE4">
              <w:rPr>
                <w:b/>
                <w:sz w:val="24"/>
                <w:szCs w:val="24"/>
              </w:rPr>
              <w:t>Obiectivul 4: stabilirea limitelor pentru expunerea la câmpuri electromagnetice conforme cu recomandările moderne internaționale pe acest subiect</w:t>
            </w:r>
          </w:p>
        </w:tc>
      </w:tr>
      <w:tr w:rsidR="00346CE4" w:rsidRPr="00346CE4" w:rsidTr="0068170A">
        <w:trPr>
          <w:trHeight w:val="1349"/>
          <w:jc w:val="center"/>
        </w:trPr>
        <w:tc>
          <w:tcPr>
            <w:tcW w:w="1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4.1</w:t>
            </w:r>
          </w:p>
        </w:tc>
        <w:tc>
          <w:tcPr>
            <w:tcW w:w="185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rPr>
                <w:sz w:val="24"/>
                <w:szCs w:val="24"/>
              </w:rPr>
            </w:pPr>
            <w:r w:rsidRPr="00346CE4">
              <w:rPr>
                <w:sz w:val="24"/>
                <w:szCs w:val="24"/>
              </w:rPr>
              <w:t>Elaborarea Regulamentului sanitar privind protecția populației de acțiunea câmpurilor electromagnetice generate de obiectivele radiotehnice de emisie</w:t>
            </w:r>
          </w:p>
        </w:tc>
        <w:tc>
          <w:tcPr>
            <w:tcW w:w="541" w:type="pct"/>
            <w:tcBorders>
              <w:top w:val="single" w:sz="6" w:space="0" w:color="000000"/>
              <w:left w:val="single" w:sz="6" w:space="0" w:color="000000"/>
              <w:bottom w:val="single" w:sz="6" w:space="0" w:color="000000"/>
              <w:right w:val="single" w:sz="6" w:space="0" w:color="000000"/>
            </w:tcBorders>
          </w:tcPr>
          <w:p w:rsidR="00346CE4" w:rsidRPr="00346CE4" w:rsidRDefault="00346CE4" w:rsidP="00346CE4">
            <w:pPr>
              <w:ind w:firstLine="0"/>
              <w:rPr>
                <w:sz w:val="24"/>
                <w:szCs w:val="24"/>
              </w:rPr>
            </w:pPr>
            <w:r w:rsidRPr="00346CE4">
              <w:rPr>
                <w:sz w:val="24"/>
                <w:szCs w:val="24"/>
              </w:rPr>
              <w:t>Hotărâre de Guvern aprobată</w:t>
            </w:r>
          </w:p>
        </w:tc>
        <w:tc>
          <w:tcPr>
            <w:tcW w:w="5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 xml:space="preserve">În limitele bugetului </w:t>
            </w:r>
            <w:proofErr w:type="spellStart"/>
            <w:r w:rsidRPr="00346CE4">
              <w:rPr>
                <w:sz w:val="24"/>
                <w:szCs w:val="24"/>
              </w:rPr>
              <w:t>autorităţii</w:t>
            </w:r>
            <w:proofErr w:type="spellEnd"/>
            <w:r w:rsidRPr="00346CE4">
              <w:rPr>
                <w:sz w:val="24"/>
                <w:szCs w:val="24"/>
              </w:rPr>
              <w:t xml:space="preserve"> responsabile</w:t>
            </w:r>
          </w:p>
        </w:tc>
        <w:tc>
          <w:tcPr>
            <w:tcW w:w="4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center"/>
              <w:rPr>
                <w:sz w:val="24"/>
                <w:szCs w:val="24"/>
              </w:rPr>
            </w:pPr>
            <w:r w:rsidRPr="00346CE4">
              <w:rPr>
                <w:sz w:val="24"/>
                <w:szCs w:val="24"/>
              </w:rPr>
              <w:t>Trimestrul IV</w:t>
            </w:r>
          </w:p>
          <w:p w:rsidR="00346CE4" w:rsidRPr="00346CE4" w:rsidRDefault="00346CE4" w:rsidP="00346CE4">
            <w:pPr>
              <w:ind w:firstLine="0"/>
              <w:jc w:val="center"/>
              <w:rPr>
                <w:sz w:val="24"/>
                <w:szCs w:val="24"/>
              </w:rPr>
            </w:pPr>
            <w:r w:rsidRPr="00346CE4">
              <w:rPr>
                <w:sz w:val="24"/>
                <w:szCs w:val="24"/>
              </w:rPr>
              <w:t>2021</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r w:rsidRPr="00346CE4">
              <w:rPr>
                <w:sz w:val="24"/>
                <w:szCs w:val="24"/>
              </w:rPr>
              <w:t>Ministerul Sănătății, Muncii și Protecției Sociale;</w:t>
            </w:r>
          </w:p>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Sănătate Publică</w:t>
            </w:r>
          </w:p>
        </w:tc>
        <w:tc>
          <w:tcPr>
            <w:tcW w:w="7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46CE4" w:rsidRPr="00346CE4" w:rsidRDefault="00346CE4" w:rsidP="00346CE4">
            <w:pPr>
              <w:ind w:firstLine="0"/>
              <w:jc w:val="left"/>
              <w:rPr>
                <w:sz w:val="24"/>
                <w:szCs w:val="24"/>
              </w:rPr>
            </w:pPr>
            <w:proofErr w:type="spellStart"/>
            <w:r w:rsidRPr="00346CE4">
              <w:rPr>
                <w:sz w:val="24"/>
                <w:szCs w:val="24"/>
              </w:rPr>
              <w:t>Agenţia</w:t>
            </w:r>
            <w:proofErr w:type="spellEnd"/>
            <w:r w:rsidRPr="00346CE4">
              <w:rPr>
                <w:sz w:val="24"/>
                <w:szCs w:val="24"/>
              </w:rPr>
              <w:t xml:space="preserve"> </w:t>
            </w:r>
            <w:proofErr w:type="spellStart"/>
            <w:r w:rsidRPr="00346CE4">
              <w:rPr>
                <w:sz w:val="24"/>
                <w:szCs w:val="24"/>
              </w:rPr>
              <w:t>Naţională</w:t>
            </w:r>
            <w:proofErr w:type="spellEnd"/>
            <w:r w:rsidRPr="00346CE4">
              <w:rPr>
                <w:sz w:val="24"/>
                <w:szCs w:val="24"/>
              </w:rPr>
              <w:t xml:space="preserve"> pentru Reglementare în </w:t>
            </w:r>
            <w:proofErr w:type="spellStart"/>
            <w:r w:rsidRPr="00346CE4">
              <w:rPr>
                <w:sz w:val="24"/>
                <w:szCs w:val="24"/>
              </w:rPr>
              <w:t>Comunicaţii</w:t>
            </w:r>
            <w:proofErr w:type="spellEnd"/>
            <w:r w:rsidRPr="00346CE4">
              <w:rPr>
                <w:sz w:val="24"/>
                <w:szCs w:val="24"/>
              </w:rPr>
              <w:t xml:space="preserve"> Electronice </w:t>
            </w:r>
            <w:proofErr w:type="spellStart"/>
            <w:r w:rsidRPr="00346CE4">
              <w:rPr>
                <w:sz w:val="24"/>
                <w:szCs w:val="24"/>
              </w:rPr>
              <w:t>şi</w:t>
            </w:r>
            <w:proofErr w:type="spellEnd"/>
            <w:r w:rsidRPr="00346CE4">
              <w:rPr>
                <w:sz w:val="24"/>
                <w:szCs w:val="24"/>
              </w:rPr>
              <w:t xml:space="preserve"> Tehnologia </w:t>
            </w:r>
            <w:proofErr w:type="spellStart"/>
            <w:r w:rsidRPr="00346CE4">
              <w:rPr>
                <w:sz w:val="24"/>
                <w:szCs w:val="24"/>
              </w:rPr>
              <w:t>Informaţiei</w:t>
            </w:r>
            <w:proofErr w:type="spellEnd"/>
            <w:r w:rsidRPr="00346CE4">
              <w:rPr>
                <w:sz w:val="24"/>
                <w:szCs w:val="24"/>
              </w:rPr>
              <w:t>,</w:t>
            </w:r>
          </w:p>
          <w:p w:rsidR="00346CE4" w:rsidRPr="00346CE4" w:rsidRDefault="00346CE4" w:rsidP="00346CE4">
            <w:pPr>
              <w:ind w:firstLine="0"/>
              <w:jc w:val="left"/>
              <w:rPr>
                <w:sz w:val="24"/>
                <w:szCs w:val="24"/>
              </w:rPr>
            </w:pPr>
            <w:r w:rsidRPr="00346CE4">
              <w:rPr>
                <w:sz w:val="24"/>
                <w:szCs w:val="24"/>
              </w:rPr>
              <w:t>furnizorii de comunicații electronice mobile</w:t>
            </w:r>
          </w:p>
        </w:tc>
      </w:tr>
    </w:tbl>
    <w:p w:rsidR="0088474D" w:rsidRPr="00346CE4" w:rsidRDefault="0088474D" w:rsidP="00361E9D">
      <w:pPr>
        <w:ind w:firstLine="0"/>
        <w:rPr>
          <w:sz w:val="24"/>
          <w:szCs w:val="24"/>
        </w:rPr>
      </w:pPr>
      <w:bookmarkStart w:id="1" w:name="_GoBack"/>
      <w:bookmarkEnd w:id="1"/>
    </w:p>
    <w:sectPr w:rsidR="0088474D" w:rsidRPr="00346CE4" w:rsidSect="00361E9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CC" w:rsidRDefault="007E07CC" w:rsidP="00346CE4">
      <w:r>
        <w:separator/>
      </w:r>
    </w:p>
  </w:endnote>
  <w:endnote w:type="continuationSeparator" w:id="0">
    <w:p w:rsidR="007E07CC" w:rsidRDefault="007E07CC" w:rsidP="0034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YInterstate Light">
    <w:altName w:val="Arial Narrow"/>
    <w:charset w:val="EE"/>
    <w:family w:val="auto"/>
    <w:pitch w:val="variable"/>
    <w:sig w:usb0="A00002AF" w:usb1="5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CC" w:rsidRDefault="007E07CC" w:rsidP="00346CE4">
      <w:r>
        <w:separator/>
      </w:r>
    </w:p>
  </w:footnote>
  <w:footnote w:type="continuationSeparator" w:id="0">
    <w:p w:rsidR="007E07CC" w:rsidRDefault="007E07CC" w:rsidP="00346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1F" w:rsidRDefault="007E07CC" w:rsidP="00507E9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1F" w:rsidRPr="00633BD9" w:rsidRDefault="007E07CC" w:rsidP="004A228A">
    <w:pPr>
      <w:pStyle w:val="a6"/>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720"/>
    <w:multiLevelType w:val="hybridMultilevel"/>
    <w:tmpl w:val="F0D4893A"/>
    <w:lvl w:ilvl="0" w:tplc="D8ACB9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C7F13"/>
    <w:multiLevelType w:val="hybridMultilevel"/>
    <w:tmpl w:val="9D10F960"/>
    <w:lvl w:ilvl="0" w:tplc="04190011">
      <w:start w:val="1"/>
      <w:numFmt w:val="decimal"/>
      <w:lvlText w:val="%1)"/>
      <w:lvlJc w:val="left"/>
      <w:pPr>
        <w:ind w:left="1272" w:hanging="705"/>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E14C7B"/>
    <w:multiLevelType w:val="hybridMultilevel"/>
    <w:tmpl w:val="BE0ED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04E63"/>
    <w:multiLevelType w:val="hybridMultilevel"/>
    <w:tmpl w:val="6CB84D1C"/>
    <w:lvl w:ilvl="0" w:tplc="32347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708E6"/>
    <w:multiLevelType w:val="hybridMultilevel"/>
    <w:tmpl w:val="19285D78"/>
    <w:lvl w:ilvl="0" w:tplc="20129982">
      <w:start w:val="1"/>
      <w:numFmt w:val="decimal"/>
      <w:lvlText w:val="%1)"/>
      <w:lvlJc w:val="left"/>
      <w:pPr>
        <w:ind w:left="1260" w:hanging="360"/>
      </w:pPr>
      <w:rPr>
        <w:rFonts w:cs="Times New Roman"/>
      </w:rPr>
    </w:lvl>
    <w:lvl w:ilvl="1" w:tplc="B5504FA0">
      <w:start w:val="1"/>
      <w:numFmt w:val="lowerLetter"/>
      <w:lvlText w:val="%2."/>
      <w:lvlJc w:val="left"/>
      <w:pPr>
        <w:ind w:left="1980" w:hanging="360"/>
      </w:pPr>
      <w:rPr>
        <w:rFonts w:cs="Times New Roman"/>
      </w:rPr>
    </w:lvl>
    <w:lvl w:ilvl="2" w:tplc="3E966320">
      <w:start w:val="1"/>
      <w:numFmt w:val="lowerRoman"/>
      <w:lvlText w:val="%3."/>
      <w:lvlJc w:val="right"/>
      <w:pPr>
        <w:ind w:left="2700" w:hanging="180"/>
      </w:pPr>
      <w:rPr>
        <w:rFonts w:cs="Times New Roman"/>
      </w:rPr>
    </w:lvl>
    <w:lvl w:ilvl="3" w:tplc="2E302FB6">
      <w:start w:val="1"/>
      <w:numFmt w:val="decimal"/>
      <w:lvlText w:val="%4."/>
      <w:lvlJc w:val="left"/>
      <w:pPr>
        <w:ind w:left="3420" w:hanging="360"/>
      </w:pPr>
      <w:rPr>
        <w:rFonts w:cs="Times New Roman"/>
      </w:rPr>
    </w:lvl>
    <w:lvl w:ilvl="4" w:tplc="CFE4F346">
      <w:start w:val="1"/>
      <w:numFmt w:val="lowerLetter"/>
      <w:lvlText w:val="%5."/>
      <w:lvlJc w:val="left"/>
      <w:pPr>
        <w:ind w:left="4140" w:hanging="360"/>
      </w:pPr>
      <w:rPr>
        <w:rFonts w:cs="Times New Roman"/>
      </w:rPr>
    </w:lvl>
    <w:lvl w:ilvl="5" w:tplc="4B5EEAF2">
      <w:start w:val="1"/>
      <w:numFmt w:val="lowerRoman"/>
      <w:lvlText w:val="%6."/>
      <w:lvlJc w:val="right"/>
      <w:pPr>
        <w:ind w:left="4860" w:hanging="180"/>
      </w:pPr>
      <w:rPr>
        <w:rFonts w:cs="Times New Roman"/>
      </w:rPr>
    </w:lvl>
    <w:lvl w:ilvl="6" w:tplc="FF5AEAC0">
      <w:start w:val="1"/>
      <w:numFmt w:val="decimal"/>
      <w:lvlText w:val="%7."/>
      <w:lvlJc w:val="left"/>
      <w:pPr>
        <w:ind w:left="5580" w:hanging="360"/>
      </w:pPr>
      <w:rPr>
        <w:rFonts w:cs="Times New Roman"/>
      </w:rPr>
    </w:lvl>
    <w:lvl w:ilvl="7" w:tplc="5866D702">
      <w:start w:val="1"/>
      <w:numFmt w:val="lowerLetter"/>
      <w:lvlText w:val="%8."/>
      <w:lvlJc w:val="left"/>
      <w:pPr>
        <w:ind w:left="6300" w:hanging="360"/>
      </w:pPr>
      <w:rPr>
        <w:rFonts w:cs="Times New Roman"/>
      </w:rPr>
    </w:lvl>
    <w:lvl w:ilvl="8" w:tplc="F7AAF930">
      <w:start w:val="1"/>
      <w:numFmt w:val="lowerRoman"/>
      <w:lvlText w:val="%9."/>
      <w:lvlJc w:val="right"/>
      <w:pPr>
        <w:ind w:left="7020" w:hanging="180"/>
      </w:pPr>
      <w:rPr>
        <w:rFonts w:cs="Times New Roman"/>
      </w:rPr>
    </w:lvl>
  </w:abstractNum>
  <w:abstractNum w:abstractNumId="5" w15:restartNumberingAfterBreak="0">
    <w:nsid w:val="56717AA3"/>
    <w:multiLevelType w:val="hybridMultilevel"/>
    <w:tmpl w:val="D9344E00"/>
    <w:lvl w:ilvl="0" w:tplc="BFF0FE36">
      <w:start w:val="1"/>
      <w:numFmt w:val="lowerLetter"/>
      <w:lvlText w:val="%1)"/>
      <w:lvlJc w:val="left"/>
      <w:pPr>
        <w:ind w:left="1064" w:hanging="360"/>
      </w:pPr>
      <w:rPr>
        <w:rFonts w:hint="default"/>
        <w:b w:val="0"/>
        <w:i w:val="0"/>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6" w15:restartNumberingAfterBreak="0">
    <w:nsid w:val="57FF1B28"/>
    <w:multiLevelType w:val="hybridMultilevel"/>
    <w:tmpl w:val="A9F84468"/>
    <w:lvl w:ilvl="0" w:tplc="DF5EC33E">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7" w15:restartNumberingAfterBreak="0">
    <w:nsid w:val="5A5E00F4"/>
    <w:multiLevelType w:val="hybridMultilevel"/>
    <w:tmpl w:val="42A4ED46"/>
    <w:lvl w:ilvl="0" w:tplc="208049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820F3"/>
    <w:multiLevelType w:val="hybridMultilevel"/>
    <w:tmpl w:val="63703A28"/>
    <w:lvl w:ilvl="0" w:tplc="E2E40858">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9" w15:restartNumberingAfterBreak="0">
    <w:nsid w:val="61F37FE7"/>
    <w:multiLevelType w:val="hybridMultilevel"/>
    <w:tmpl w:val="6D8AAAB2"/>
    <w:lvl w:ilvl="0" w:tplc="1D56E24E">
      <w:start w:val="1"/>
      <w:numFmt w:val="lowerLetter"/>
      <w:lvlText w:val="%1)"/>
      <w:lvlJc w:val="left"/>
      <w:pPr>
        <w:ind w:left="928" w:hanging="360"/>
      </w:pPr>
      <w:rPr>
        <w:rFonts w:ascii="Times New Roman" w:eastAsia="Times New Roman" w:hAnsi="Times New Roman" w:cs="Times New Roman"/>
        <w:b w:val="0"/>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710F11A6"/>
    <w:multiLevelType w:val="hybridMultilevel"/>
    <w:tmpl w:val="819CD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54529"/>
    <w:multiLevelType w:val="hybridMultilevel"/>
    <w:tmpl w:val="CDFCC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9346C"/>
    <w:multiLevelType w:val="hybridMultilevel"/>
    <w:tmpl w:val="86284930"/>
    <w:lvl w:ilvl="0" w:tplc="04090017">
      <w:start w:val="1"/>
      <w:numFmt w:val="lowerLetter"/>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9"/>
  </w:num>
  <w:num w:numId="3">
    <w:abstractNumId w:val="6"/>
  </w:num>
  <w:num w:numId="4">
    <w:abstractNumId w:val="8"/>
  </w:num>
  <w:num w:numId="5">
    <w:abstractNumId w:val="3"/>
  </w:num>
  <w:num w:numId="6">
    <w:abstractNumId w:val="2"/>
  </w:num>
  <w:num w:numId="7">
    <w:abstractNumId w:val="11"/>
  </w:num>
  <w:num w:numId="8">
    <w:abstractNumId w:val="0"/>
  </w:num>
  <w:num w:numId="9">
    <w:abstractNumId w:val="7"/>
  </w:num>
  <w:num w:numId="10">
    <w:abstractNumId w:val="10"/>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5C"/>
    <w:rsid w:val="00346CE4"/>
    <w:rsid w:val="00361E9D"/>
    <w:rsid w:val="00414F5C"/>
    <w:rsid w:val="006B5FFC"/>
    <w:rsid w:val="007E07CC"/>
    <w:rsid w:val="0088474D"/>
    <w:rsid w:val="00D1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1707-2E80-4499-9E64-8FD3BC76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E4"/>
    <w:pPr>
      <w:spacing w:after="0" w:line="240" w:lineRule="auto"/>
      <w:ind w:firstLine="709"/>
      <w:jc w:val="both"/>
    </w:pPr>
    <w:rPr>
      <w:rFonts w:ascii="Times New Roman" w:eastAsia="Times New Roman" w:hAnsi="Times New Roman" w:cs="Times New Roman"/>
      <w:sz w:val="20"/>
      <w:szCs w:val="20"/>
      <w:lang w:val="ro-RO"/>
    </w:rPr>
  </w:style>
  <w:style w:type="paragraph" w:styleId="1">
    <w:name w:val="heading 1"/>
    <w:basedOn w:val="a"/>
    <w:next w:val="a"/>
    <w:link w:val="10"/>
    <w:qFormat/>
    <w:rsid w:val="00346CE4"/>
    <w:pPr>
      <w:keepNext/>
      <w:spacing w:before="240" w:after="60"/>
      <w:outlineLvl w:val="0"/>
    </w:pPr>
    <w:rPr>
      <w:rFonts w:ascii="Arial" w:hAnsi="Arial"/>
      <w:b/>
      <w:kern w:val="28"/>
      <w:sz w:val="28"/>
    </w:rPr>
  </w:style>
  <w:style w:type="paragraph" w:styleId="2">
    <w:name w:val="heading 2"/>
    <w:basedOn w:val="a"/>
    <w:next w:val="a"/>
    <w:link w:val="20"/>
    <w:qFormat/>
    <w:rsid w:val="00346CE4"/>
    <w:pPr>
      <w:keepNext/>
      <w:jc w:val="center"/>
      <w:outlineLvl w:val="1"/>
    </w:pPr>
    <w:rPr>
      <w:rFonts w:ascii="$ Benguiat_Bold" w:hAnsi="$ Benguiat_Bold"/>
      <w:b/>
      <w:sz w:val="132"/>
      <w:lang w:val="x-none"/>
    </w:rPr>
  </w:style>
  <w:style w:type="paragraph" w:styleId="3">
    <w:name w:val="heading 3"/>
    <w:basedOn w:val="a"/>
    <w:next w:val="a"/>
    <w:link w:val="30"/>
    <w:qFormat/>
    <w:rsid w:val="00346CE4"/>
    <w:pPr>
      <w:keepNext/>
      <w:jc w:val="center"/>
      <w:outlineLvl w:val="2"/>
    </w:pPr>
    <w:rPr>
      <w:rFonts w:ascii="$Caslon" w:hAnsi="$Caslon"/>
      <w:b/>
      <w:lang w:val="x-none"/>
    </w:rPr>
  </w:style>
  <w:style w:type="paragraph" w:styleId="4">
    <w:name w:val="heading 4"/>
    <w:basedOn w:val="a"/>
    <w:next w:val="a"/>
    <w:link w:val="40"/>
    <w:qFormat/>
    <w:rsid w:val="00346CE4"/>
    <w:pPr>
      <w:keepNext/>
      <w:jc w:val="center"/>
      <w:outlineLvl w:val="3"/>
    </w:pPr>
    <w:rPr>
      <w:rFonts w:ascii="$Caslon" w:hAnsi="$Caslon"/>
      <w:b/>
      <w:sz w:val="26"/>
      <w:lang w:val="x-none"/>
    </w:rPr>
  </w:style>
  <w:style w:type="paragraph" w:styleId="5">
    <w:name w:val="heading 5"/>
    <w:basedOn w:val="a"/>
    <w:next w:val="a"/>
    <w:link w:val="50"/>
    <w:qFormat/>
    <w:rsid w:val="00346CE4"/>
    <w:pPr>
      <w:keepNext/>
      <w:jc w:val="center"/>
      <w:outlineLvl w:val="4"/>
    </w:pPr>
    <w:rPr>
      <w:rFonts w:ascii="$Caslon" w:hAnsi="$Caslon"/>
      <w:sz w:val="24"/>
      <w:lang w:val="x-none"/>
    </w:rPr>
  </w:style>
  <w:style w:type="paragraph" w:styleId="6">
    <w:name w:val="heading 6"/>
    <w:basedOn w:val="a"/>
    <w:next w:val="a"/>
    <w:link w:val="60"/>
    <w:qFormat/>
    <w:rsid w:val="00346CE4"/>
    <w:pPr>
      <w:keepNext/>
      <w:jc w:val="center"/>
      <w:outlineLvl w:val="5"/>
    </w:pPr>
    <w:rPr>
      <w:rFonts w:ascii="$Caslon" w:hAnsi="$Caslon"/>
      <w:b/>
      <w:sz w:val="22"/>
      <w:lang w:val="x-none"/>
    </w:rPr>
  </w:style>
  <w:style w:type="paragraph" w:styleId="7">
    <w:name w:val="heading 7"/>
    <w:basedOn w:val="a"/>
    <w:next w:val="a"/>
    <w:link w:val="70"/>
    <w:qFormat/>
    <w:rsid w:val="00346CE4"/>
    <w:pPr>
      <w:keepNext/>
      <w:jc w:val="center"/>
      <w:outlineLvl w:val="6"/>
    </w:pPr>
    <w:rPr>
      <w:rFonts w:ascii="Garamond" w:hAnsi="Garamond"/>
      <w:b/>
      <w:sz w:val="28"/>
    </w:rPr>
  </w:style>
  <w:style w:type="paragraph" w:styleId="8">
    <w:name w:val="heading 8"/>
    <w:basedOn w:val="a"/>
    <w:next w:val="a"/>
    <w:link w:val="80"/>
    <w:qFormat/>
    <w:rsid w:val="00346CE4"/>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CE4"/>
    <w:rPr>
      <w:rFonts w:ascii="Arial" w:eastAsia="Times New Roman" w:hAnsi="Arial" w:cs="Times New Roman"/>
      <w:b/>
      <w:kern w:val="28"/>
      <w:sz w:val="28"/>
      <w:szCs w:val="20"/>
      <w:lang w:val="ro-RO"/>
    </w:rPr>
  </w:style>
  <w:style w:type="character" w:customStyle="1" w:styleId="20">
    <w:name w:val="Заголовок 2 Знак"/>
    <w:basedOn w:val="a0"/>
    <w:link w:val="2"/>
    <w:rsid w:val="00346CE4"/>
    <w:rPr>
      <w:rFonts w:ascii="$ Benguiat_Bold" w:eastAsia="Times New Roman" w:hAnsi="$ Benguiat_Bold" w:cs="Times New Roman"/>
      <w:b/>
      <w:sz w:val="132"/>
      <w:szCs w:val="20"/>
      <w:lang w:val="x-none"/>
    </w:rPr>
  </w:style>
  <w:style w:type="character" w:customStyle="1" w:styleId="30">
    <w:name w:val="Заголовок 3 Знак"/>
    <w:basedOn w:val="a0"/>
    <w:link w:val="3"/>
    <w:rsid w:val="00346CE4"/>
    <w:rPr>
      <w:rFonts w:ascii="$Caslon" w:eastAsia="Times New Roman" w:hAnsi="$Caslon" w:cs="Times New Roman"/>
      <w:b/>
      <w:sz w:val="20"/>
      <w:szCs w:val="20"/>
      <w:lang w:val="x-none"/>
    </w:rPr>
  </w:style>
  <w:style w:type="character" w:customStyle="1" w:styleId="40">
    <w:name w:val="Заголовок 4 Знак"/>
    <w:basedOn w:val="a0"/>
    <w:link w:val="4"/>
    <w:rsid w:val="00346CE4"/>
    <w:rPr>
      <w:rFonts w:ascii="$Caslon" w:eastAsia="Times New Roman" w:hAnsi="$Caslon" w:cs="Times New Roman"/>
      <w:b/>
      <w:sz w:val="26"/>
      <w:szCs w:val="20"/>
      <w:lang w:val="x-none"/>
    </w:rPr>
  </w:style>
  <w:style w:type="character" w:customStyle="1" w:styleId="50">
    <w:name w:val="Заголовок 5 Знак"/>
    <w:basedOn w:val="a0"/>
    <w:link w:val="5"/>
    <w:rsid w:val="00346CE4"/>
    <w:rPr>
      <w:rFonts w:ascii="$Caslon" w:eastAsia="Times New Roman" w:hAnsi="$Caslon" w:cs="Times New Roman"/>
      <w:sz w:val="24"/>
      <w:szCs w:val="20"/>
      <w:lang w:val="x-none"/>
    </w:rPr>
  </w:style>
  <w:style w:type="character" w:customStyle="1" w:styleId="60">
    <w:name w:val="Заголовок 6 Знак"/>
    <w:basedOn w:val="a0"/>
    <w:link w:val="6"/>
    <w:rsid w:val="00346CE4"/>
    <w:rPr>
      <w:rFonts w:ascii="$Caslon" w:eastAsia="Times New Roman" w:hAnsi="$Caslon" w:cs="Times New Roman"/>
      <w:b/>
      <w:szCs w:val="20"/>
      <w:lang w:val="x-none"/>
    </w:rPr>
  </w:style>
  <w:style w:type="character" w:customStyle="1" w:styleId="70">
    <w:name w:val="Заголовок 7 Знак"/>
    <w:basedOn w:val="a0"/>
    <w:link w:val="7"/>
    <w:rsid w:val="00346CE4"/>
    <w:rPr>
      <w:rFonts w:ascii="Garamond" w:eastAsia="Times New Roman" w:hAnsi="Garamond" w:cs="Times New Roman"/>
      <w:b/>
      <w:sz w:val="28"/>
      <w:szCs w:val="20"/>
      <w:lang w:val="ro-RO"/>
    </w:rPr>
  </w:style>
  <w:style w:type="character" w:customStyle="1" w:styleId="80">
    <w:name w:val="Заголовок 8 Знак"/>
    <w:basedOn w:val="a0"/>
    <w:link w:val="8"/>
    <w:rsid w:val="00346CE4"/>
    <w:rPr>
      <w:rFonts w:ascii="$Caslon" w:eastAsia="Times New Roman" w:hAnsi="$Caslon" w:cs="Times New Roman"/>
      <w:b/>
      <w:sz w:val="24"/>
      <w:szCs w:val="20"/>
      <w:lang w:val="ro-RO"/>
    </w:rPr>
  </w:style>
  <w:style w:type="paragraph" w:styleId="a3">
    <w:name w:val="Balloon Text"/>
    <w:basedOn w:val="a"/>
    <w:link w:val="a4"/>
    <w:rsid w:val="00346CE4"/>
    <w:rPr>
      <w:rFonts w:ascii="Tahoma" w:hAnsi="Tahoma"/>
      <w:sz w:val="16"/>
      <w:szCs w:val="16"/>
    </w:rPr>
  </w:style>
  <w:style w:type="character" w:customStyle="1" w:styleId="a4">
    <w:name w:val="Текст выноски Знак"/>
    <w:basedOn w:val="a0"/>
    <w:link w:val="a3"/>
    <w:rsid w:val="00346CE4"/>
    <w:rPr>
      <w:rFonts w:ascii="Tahoma" w:eastAsia="Times New Roman" w:hAnsi="Tahoma" w:cs="Times New Roman"/>
      <w:sz w:val="16"/>
      <w:szCs w:val="16"/>
      <w:lang w:val="ro-RO"/>
    </w:rPr>
  </w:style>
  <w:style w:type="paragraph" w:customStyle="1" w:styleId="CharChar">
    <w:name w:val="Знак Знак Char Char Знак"/>
    <w:basedOn w:val="a"/>
    <w:rsid w:val="00346CE4"/>
    <w:pPr>
      <w:spacing w:after="160" w:line="240" w:lineRule="exact"/>
      <w:ind w:firstLine="0"/>
      <w:jc w:val="left"/>
    </w:pPr>
    <w:rPr>
      <w:rFonts w:ascii="Arial" w:eastAsia="Batang" w:hAnsi="Arial" w:cs="Arial"/>
    </w:rPr>
  </w:style>
  <w:style w:type="paragraph" w:styleId="a5">
    <w:name w:val="Normal (Web)"/>
    <w:basedOn w:val="a"/>
    <w:uiPriority w:val="99"/>
    <w:unhideWhenUsed/>
    <w:rsid w:val="00346CE4"/>
    <w:pPr>
      <w:ind w:firstLine="567"/>
    </w:pPr>
    <w:rPr>
      <w:sz w:val="24"/>
      <w:szCs w:val="24"/>
      <w:lang w:val="ru-RU" w:eastAsia="ru-RU"/>
    </w:rPr>
  </w:style>
  <w:style w:type="paragraph" w:customStyle="1" w:styleId="cn">
    <w:name w:val="cn"/>
    <w:basedOn w:val="a"/>
    <w:rsid w:val="00346CE4"/>
    <w:pPr>
      <w:ind w:firstLine="0"/>
      <w:jc w:val="center"/>
    </w:pPr>
    <w:rPr>
      <w:sz w:val="24"/>
      <w:szCs w:val="24"/>
      <w:lang w:val="ru-RU" w:eastAsia="ru-RU"/>
    </w:rPr>
  </w:style>
  <w:style w:type="paragraph" w:customStyle="1" w:styleId="cb">
    <w:name w:val="cb"/>
    <w:basedOn w:val="a"/>
    <w:uiPriority w:val="99"/>
    <w:semiHidden/>
    <w:rsid w:val="00346CE4"/>
    <w:pPr>
      <w:ind w:firstLine="0"/>
      <w:jc w:val="center"/>
    </w:pPr>
    <w:rPr>
      <w:b/>
      <w:bCs/>
      <w:sz w:val="24"/>
      <w:szCs w:val="24"/>
      <w:lang w:val="ru-RU" w:eastAsia="ru-RU"/>
    </w:rPr>
  </w:style>
  <w:style w:type="paragraph" w:styleId="a6">
    <w:name w:val="header"/>
    <w:basedOn w:val="a"/>
    <w:link w:val="a7"/>
    <w:rsid w:val="00346CE4"/>
    <w:pPr>
      <w:tabs>
        <w:tab w:val="center" w:pos="4677"/>
        <w:tab w:val="right" w:pos="9355"/>
      </w:tabs>
    </w:pPr>
  </w:style>
  <w:style w:type="character" w:customStyle="1" w:styleId="a7">
    <w:name w:val="Верхний колонтитул Знак"/>
    <w:basedOn w:val="a0"/>
    <w:link w:val="a6"/>
    <w:rsid w:val="00346CE4"/>
    <w:rPr>
      <w:rFonts w:ascii="Times New Roman" w:eastAsia="Times New Roman" w:hAnsi="Times New Roman" w:cs="Times New Roman"/>
      <w:sz w:val="20"/>
      <w:szCs w:val="20"/>
      <w:lang w:val="ro-RO"/>
    </w:rPr>
  </w:style>
  <w:style w:type="paragraph" w:styleId="a8">
    <w:name w:val="footer"/>
    <w:basedOn w:val="a"/>
    <w:link w:val="a9"/>
    <w:uiPriority w:val="99"/>
    <w:rsid w:val="00346CE4"/>
    <w:pPr>
      <w:tabs>
        <w:tab w:val="center" w:pos="4677"/>
        <w:tab w:val="right" w:pos="9355"/>
      </w:tabs>
    </w:pPr>
  </w:style>
  <w:style w:type="character" w:customStyle="1" w:styleId="a9">
    <w:name w:val="Нижний колонтитул Знак"/>
    <w:basedOn w:val="a0"/>
    <w:link w:val="a8"/>
    <w:uiPriority w:val="99"/>
    <w:rsid w:val="00346CE4"/>
    <w:rPr>
      <w:rFonts w:ascii="Times New Roman" w:eastAsia="Times New Roman" w:hAnsi="Times New Roman" w:cs="Times New Roman"/>
      <w:sz w:val="20"/>
      <w:szCs w:val="20"/>
      <w:lang w:val="ro-RO"/>
    </w:rPr>
  </w:style>
  <w:style w:type="table" w:styleId="aa">
    <w:name w:val="Table Grid"/>
    <w:basedOn w:val="a1"/>
    <w:rsid w:val="00346CE4"/>
    <w:pPr>
      <w:spacing w:after="0" w:line="240" w:lineRule="auto"/>
      <w:ind w:firstLine="709"/>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346CE4"/>
    <w:pPr>
      <w:ind w:firstLine="0"/>
      <w:jc w:val="left"/>
    </w:pPr>
    <w:rPr>
      <w:rFonts w:ascii="Arial" w:hAnsi="Arial" w:cs="Arial"/>
      <w:lang w:val="ru-RU" w:eastAsia="ru-RU"/>
    </w:rPr>
  </w:style>
  <w:style w:type="table" w:customStyle="1" w:styleId="GrilTabel1">
    <w:name w:val="Grilă Tabel1"/>
    <w:basedOn w:val="a1"/>
    <w:next w:val="aa"/>
    <w:uiPriority w:val="59"/>
    <w:rsid w:val="00346CE4"/>
    <w:pPr>
      <w:spacing w:after="0" w:line="240" w:lineRule="auto"/>
      <w:ind w:firstLine="709"/>
      <w:jc w:val="both"/>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346CE4"/>
    <w:pPr>
      <w:ind w:left="720"/>
      <w:contextualSpacing/>
    </w:pPr>
  </w:style>
  <w:style w:type="numbering" w:customStyle="1" w:styleId="FrListare1">
    <w:name w:val="Fără Listare1"/>
    <w:next w:val="a2"/>
    <w:semiHidden/>
    <w:rsid w:val="00346CE4"/>
  </w:style>
  <w:style w:type="character" w:styleId="ac">
    <w:name w:val="page number"/>
    <w:basedOn w:val="a0"/>
    <w:rsid w:val="00346CE4"/>
  </w:style>
  <w:style w:type="paragraph" w:customStyle="1" w:styleId="tt">
    <w:name w:val="tt"/>
    <w:basedOn w:val="a"/>
    <w:rsid w:val="00346CE4"/>
    <w:pPr>
      <w:ind w:firstLine="0"/>
      <w:jc w:val="center"/>
    </w:pPr>
    <w:rPr>
      <w:b/>
      <w:bCs/>
      <w:sz w:val="24"/>
      <w:szCs w:val="24"/>
      <w:lang w:val="ru-RU" w:eastAsia="ru-RU"/>
    </w:rPr>
  </w:style>
  <w:style w:type="paragraph" w:customStyle="1" w:styleId="CharChar0">
    <w:name w:val="Char Char Знак Знак"/>
    <w:basedOn w:val="a"/>
    <w:rsid w:val="00346CE4"/>
    <w:pPr>
      <w:spacing w:after="160" w:line="240" w:lineRule="exact"/>
      <w:ind w:firstLine="0"/>
      <w:jc w:val="left"/>
    </w:pPr>
    <w:rPr>
      <w:rFonts w:ascii="Arial" w:eastAsia="Batang" w:hAnsi="Arial" w:cs="Arial"/>
    </w:rPr>
  </w:style>
  <w:style w:type="character" w:customStyle="1" w:styleId="docheader1">
    <w:name w:val="doc_header1"/>
    <w:rsid w:val="00346CE4"/>
    <w:rPr>
      <w:rFonts w:ascii="Times New Roman" w:hAnsi="Times New Roman" w:cs="Times New Roman" w:hint="default"/>
      <w:b/>
      <w:bCs/>
      <w:color w:val="000000"/>
      <w:sz w:val="24"/>
      <w:szCs w:val="24"/>
    </w:rPr>
  </w:style>
  <w:style w:type="character" w:styleId="ad">
    <w:name w:val="Strong"/>
    <w:uiPriority w:val="22"/>
    <w:qFormat/>
    <w:rsid w:val="00346CE4"/>
    <w:rPr>
      <w:b/>
      <w:bCs/>
    </w:rPr>
  </w:style>
  <w:style w:type="character" w:customStyle="1" w:styleId="docsign11">
    <w:name w:val="doc_sign11"/>
    <w:rsid w:val="00346CE4"/>
    <w:rPr>
      <w:rFonts w:ascii="Times New Roman" w:hAnsi="Times New Roman" w:cs="Times New Roman" w:hint="default"/>
      <w:b/>
      <w:bCs/>
      <w:color w:val="000000"/>
      <w:sz w:val="22"/>
      <w:szCs w:val="22"/>
    </w:rPr>
  </w:style>
  <w:style w:type="character" w:customStyle="1" w:styleId="sttart">
    <w:name w:val="st_tart"/>
    <w:basedOn w:val="a0"/>
    <w:rsid w:val="00346CE4"/>
  </w:style>
  <w:style w:type="character" w:customStyle="1" w:styleId="tal1">
    <w:name w:val="tal1"/>
    <w:rsid w:val="00346CE4"/>
  </w:style>
  <w:style w:type="table" w:customStyle="1" w:styleId="GrilTabel2">
    <w:name w:val="Grilă Tabel2"/>
    <w:basedOn w:val="a1"/>
    <w:next w:val="aa"/>
    <w:rsid w:val="00346CE4"/>
    <w:pPr>
      <w:spacing w:after="0" w:line="240" w:lineRule="auto"/>
      <w:ind w:firstLine="709"/>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346CE4"/>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346CE4"/>
  </w:style>
  <w:style w:type="paragraph" w:customStyle="1" w:styleId="cnam1">
    <w:name w:val="cnam1"/>
    <w:basedOn w:val="a"/>
    <w:rsid w:val="00346CE4"/>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346CE4"/>
    <w:rPr>
      <w:sz w:val="16"/>
      <w:szCs w:val="16"/>
    </w:rPr>
  </w:style>
  <w:style w:type="paragraph" w:styleId="af">
    <w:name w:val="annotation text"/>
    <w:basedOn w:val="a"/>
    <w:link w:val="af0"/>
    <w:uiPriority w:val="99"/>
    <w:rsid w:val="00346CE4"/>
    <w:pPr>
      <w:ind w:firstLine="0"/>
      <w:jc w:val="left"/>
    </w:pPr>
    <w:rPr>
      <w:lang w:eastAsia="ru-RU"/>
    </w:rPr>
  </w:style>
  <w:style w:type="character" w:customStyle="1" w:styleId="af0">
    <w:name w:val="Текст примечания Знак"/>
    <w:basedOn w:val="a0"/>
    <w:link w:val="af"/>
    <w:uiPriority w:val="99"/>
    <w:rsid w:val="00346CE4"/>
    <w:rPr>
      <w:rFonts w:ascii="Times New Roman" w:eastAsia="Times New Roman" w:hAnsi="Times New Roman" w:cs="Times New Roman"/>
      <w:sz w:val="20"/>
      <w:szCs w:val="20"/>
      <w:lang w:val="ro-RO" w:eastAsia="ru-RU"/>
    </w:rPr>
  </w:style>
  <w:style w:type="paragraph" w:styleId="af1">
    <w:name w:val="annotation subject"/>
    <w:basedOn w:val="af"/>
    <w:next w:val="af"/>
    <w:link w:val="af2"/>
    <w:rsid w:val="00346CE4"/>
    <w:rPr>
      <w:b/>
      <w:bCs/>
    </w:rPr>
  </w:style>
  <w:style w:type="character" w:customStyle="1" w:styleId="af2">
    <w:name w:val="Тема примечания Знак"/>
    <w:basedOn w:val="af0"/>
    <w:link w:val="af1"/>
    <w:rsid w:val="00346CE4"/>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346CE4"/>
  </w:style>
  <w:style w:type="character" w:customStyle="1" w:styleId="docheader">
    <w:name w:val="doc_header"/>
    <w:rsid w:val="00346CE4"/>
  </w:style>
  <w:style w:type="paragraph" w:customStyle="1" w:styleId="Style2">
    <w:name w:val="Style2"/>
    <w:basedOn w:val="a"/>
    <w:uiPriority w:val="99"/>
    <w:rsid w:val="00346CE4"/>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346CE4"/>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346CE4"/>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346CE4"/>
    <w:rPr>
      <w:rFonts w:ascii="Times New Roman" w:hAnsi="Times New Roman" w:cs="Times New Roman"/>
      <w:sz w:val="24"/>
      <w:szCs w:val="24"/>
    </w:rPr>
  </w:style>
  <w:style w:type="character" w:styleId="af3">
    <w:name w:val="Hyperlink"/>
    <w:basedOn w:val="a0"/>
    <w:uiPriority w:val="99"/>
    <w:rsid w:val="00346CE4"/>
    <w:rPr>
      <w:color w:val="0000FF"/>
      <w:u w:val="single"/>
    </w:rPr>
  </w:style>
  <w:style w:type="paragraph" w:customStyle="1" w:styleId="cp">
    <w:name w:val="cp"/>
    <w:basedOn w:val="a"/>
    <w:rsid w:val="00346CE4"/>
    <w:pPr>
      <w:spacing w:before="100" w:beforeAutospacing="1" w:after="100" w:afterAutospacing="1"/>
      <w:ind w:firstLine="0"/>
      <w:jc w:val="left"/>
    </w:pPr>
    <w:rPr>
      <w:sz w:val="24"/>
      <w:szCs w:val="24"/>
      <w:lang w:val="ru-RU" w:eastAsia="ru-RU"/>
    </w:rPr>
  </w:style>
  <w:style w:type="character" w:customStyle="1" w:styleId="object">
    <w:name w:val="object"/>
    <w:basedOn w:val="a0"/>
    <w:rsid w:val="00346CE4"/>
  </w:style>
  <w:style w:type="paragraph" w:styleId="HTML">
    <w:name w:val="HTML Preformatted"/>
    <w:basedOn w:val="a"/>
    <w:link w:val="HTML0"/>
    <w:uiPriority w:val="99"/>
    <w:unhideWhenUsed/>
    <w:rsid w:val="00346CE4"/>
    <w:pPr>
      <w:ind w:firstLine="0"/>
      <w:jc w:val="left"/>
    </w:pPr>
    <w:rPr>
      <w:rFonts w:ascii="Consolas" w:hAnsi="Consolas"/>
    </w:rPr>
  </w:style>
  <w:style w:type="character" w:customStyle="1" w:styleId="HTML0">
    <w:name w:val="Стандартный HTML Знак"/>
    <w:basedOn w:val="a0"/>
    <w:link w:val="HTML"/>
    <w:uiPriority w:val="99"/>
    <w:rsid w:val="00346CE4"/>
    <w:rPr>
      <w:rFonts w:ascii="Consolas" w:eastAsia="Times New Roman" w:hAnsi="Consolas" w:cs="Times New Roman"/>
      <w:sz w:val="20"/>
      <w:szCs w:val="20"/>
      <w:lang w:val="ro-RO"/>
    </w:rPr>
  </w:style>
  <w:style w:type="paragraph" w:styleId="af4">
    <w:name w:val="Title"/>
    <w:basedOn w:val="a"/>
    <w:link w:val="af5"/>
    <w:qFormat/>
    <w:rsid w:val="00346CE4"/>
    <w:pPr>
      <w:widowControl w:val="0"/>
      <w:ind w:firstLine="0"/>
      <w:jc w:val="center"/>
    </w:pPr>
    <w:rPr>
      <w:b/>
      <w:sz w:val="28"/>
      <w:lang w:val="fr-FR"/>
    </w:rPr>
  </w:style>
  <w:style w:type="character" w:customStyle="1" w:styleId="af5">
    <w:name w:val="Название Знак"/>
    <w:basedOn w:val="a0"/>
    <w:link w:val="af4"/>
    <w:rsid w:val="00346CE4"/>
    <w:rPr>
      <w:rFonts w:ascii="Times New Roman" w:eastAsia="Times New Roman" w:hAnsi="Times New Roman" w:cs="Times New Roman"/>
      <w:b/>
      <w:sz w:val="28"/>
      <w:szCs w:val="20"/>
      <w:lang w:val="fr-FR"/>
    </w:rPr>
  </w:style>
  <w:style w:type="paragraph" w:styleId="21">
    <w:name w:val="Body Text 2"/>
    <w:basedOn w:val="a"/>
    <w:link w:val="22"/>
    <w:rsid w:val="00346CE4"/>
    <w:pPr>
      <w:ind w:firstLine="0"/>
    </w:pPr>
    <w:rPr>
      <w:sz w:val="28"/>
      <w:szCs w:val="24"/>
      <w:lang w:eastAsia="ru-RU"/>
    </w:rPr>
  </w:style>
  <w:style w:type="character" w:customStyle="1" w:styleId="22">
    <w:name w:val="Основной текст 2 Знак"/>
    <w:basedOn w:val="a0"/>
    <w:link w:val="21"/>
    <w:rsid w:val="00346CE4"/>
    <w:rPr>
      <w:rFonts w:ascii="Times New Roman" w:eastAsia="Times New Roman" w:hAnsi="Times New Roman" w:cs="Times New Roman"/>
      <w:sz w:val="28"/>
      <w:szCs w:val="24"/>
      <w:lang w:val="ro-RO" w:eastAsia="ru-RU"/>
    </w:rPr>
  </w:style>
  <w:style w:type="paragraph" w:customStyle="1" w:styleId="Default">
    <w:name w:val="Default"/>
    <w:rsid w:val="00346CE4"/>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af6">
    <w:name w:val="Знак Знак Знак Знак"/>
    <w:basedOn w:val="a"/>
    <w:rsid w:val="00346CE4"/>
    <w:pPr>
      <w:spacing w:after="160" w:line="240" w:lineRule="exact"/>
      <w:ind w:firstLine="0"/>
      <w:jc w:val="left"/>
    </w:pPr>
    <w:rPr>
      <w:rFonts w:ascii="Arial" w:eastAsia="Batang" w:hAnsi="Arial" w:cs="Arial"/>
    </w:rPr>
  </w:style>
  <w:style w:type="paragraph" w:styleId="af7">
    <w:name w:val="Body Text"/>
    <w:basedOn w:val="a"/>
    <w:link w:val="af8"/>
    <w:rsid w:val="00346CE4"/>
    <w:pPr>
      <w:spacing w:after="120"/>
      <w:ind w:firstLine="0"/>
      <w:jc w:val="left"/>
    </w:pPr>
    <w:rPr>
      <w:sz w:val="24"/>
      <w:szCs w:val="24"/>
      <w:lang w:eastAsia="ru-RU"/>
    </w:rPr>
  </w:style>
  <w:style w:type="character" w:customStyle="1" w:styleId="af8">
    <w:name w:val="Основной текст Знак"/>
    <w:basedOn w:val="a0"/>
    <w:link w:val="af7"/>
    <w:rsid w:val="00346CE4"/>
    <w:rPr>
      <w:rFonts w:ascii="Times New Roman" w:eastAsia="Times New Roman" w:hAnsi="Times New Roman" w:cs="Times New Roman"/>
      <w:sz w:val="24"/>
      <w:szCs w:val="24"/>
      <w:lang w:val="ro-RO" w:eastAsia="ru-RU"/>
    </w:rPr>
  </w:style>
  <w:style w:type="paragraph" w:styleId="af9">
    <w:name w:val="Body Text Indent"/>
    <w:basedOn w:val="a"/>
    <w:link w:val="afa"/>
    <w:rsid w:val="00346CE4"/>
    <w:pPr>
      <w:suppressAutoHyphens/>
      <w:spacing w:after="120"/>
      <w:ind w:left="283" w:firstLine="0"/>
      <w:jc w:val="left"/>
    </w:pPr>
    <w:rPr>
      <w:lang w:val="en-AU" w:eastAsia="ar-SA"/>
    </w:rPr>
  </w:style>
  <w:style w:type="character" w:customStyle="1" w:styleId="afa">
    <w:name w:val="Основной текст с отступом Знак"/>
    <w:basedOn w:val="a0"/>
    <w:link w:val="af9"/>
    <w:rsid w:val="00346CE4"/>
    <w:rPr>
      <w:rFonts w:ascii="Times New Roman" w:eastAsia="Times New Roman" w:hAnsi="Times New Roman" w:cs="Times New Roman"/>
      <w:sz w:val="20"/>
      <w:szCs w:val="20"/>
      <w:lang w:val="en-AU" w:eastAsia="ar-SA"/>
    </w:rPr>
  </w:style>
  <w:style w:type="character" w:customStyle="1" w:styleId="docblue">
    <w:name w:val="doc_blue"/>
    <w:basedOn w:val="a0"/>
    <w:rsid w:val="00346CE4"/>
  </w:style>
  <w:style w:type="character" w:customStyle="1" w:styleId="highlight">
    <w:name w:val="highlight"/>
    <w:rsid w:val="00346CE4"/>
  </w:style>
  <w:style w:type="character" w:customStyle="1" w:styleId="tlid-translation">
    <w:name w:val="tlid-translation"/>
    <w:rsid w:val="00346CE4"/>
  </w:style>
  <w:style w:type="character" w:customStyle="1" w:styleId="e24kjd">
    <w:name w:val="e24kjd"/>
    <w:rsid w:val="00346CE4"/>
  </w:style>
  <w:style w:type="paragraph" w:customStyle="1" w:styleId="Reporttitledescription">
    <w:name w:val="Report title/description"/>
    <w:basedOn w:val="a"/>
    <w:rsid w:val="00346CE4"/>
    <w:pPr>
      <w:spacing w:before="600" w:line="288" w:lineRule="auto"/>
      <w:ind w:left="3402" w:firstLine="0"/>
    </w:pPr>
    <w:rPr>
      <w:rFonts w:ascii="Arial" w:hAnsi="Arial"/>
      <w:sz w:val="24"/>
      <w:szCs w:val="24"/>
    </w:rPr>
  </w:style>
  <w:style w:type="paragraph" w:customStyle="1" w:styleId="ListBulletYellow1">
    <w:name w:val="List Bullet Yellow 1"/>
    <w:basedOn w:val="a"/>
    <w:qFormat/>
    <w:rsid w:val="00346CE4"/>
    <w:pPr>
      <w:overflowPunct w:val="0"/>
      <w:autoSpaceDE w:val="0"/>
      <w:autoSpaceDN w:val="0"/>
      <w:adjustRightInd w:val="0"/>
      <w:spacing w:after="120"/>
      <w:ind w:firstLine="0"/>
      <w:textAlignment w:val="baseline"/>
    </w:pPr>
    <w:rPr>
      <w:rFonts w:ascii="EYInterstate Light" w:hAnsi="EYInterstate Light"/>
      <w:color w:val="000000"/>
      <w:kern w:val="12"/>
      <w:sz w:val="22"/>
      <w:lang w:val="nl-NL"/>
    </w:rPr>
  </w:style>
  <w:style w:type="paragraph" w:styleId="afb">
    <w:name w:val="Revision"/>
    <w:hidden/>
    <w:uiPriority w:val="99"/>
    <w:semiHidden/>
    <w:rsid w:val="00346CE4"/>
    <w:pPr>
      <w:spacing w:after="0" w:line="240" w:lineRule="auto"/>
    </w:pPr>
    <w:rPr>
      <w:rFonts w:ascii="Times New Roman" w:eastAsia="Times New Roman" w:hAnsi="Times New Roman" w:cs="Times New Roman"/>
      <w:sz w:val="24"/>
      <w:szCs w:val="24"/>
      <w:lang w:eastAsia="ru-RU"/>
    </w:rPr>
  </w:style>
  <w:style w:type="character" w:styleId="afc">
    <w:name w:val="FollowedHyperlink"/>
    <w:rsid w:val="00346CE4"/>
    <w:rPr>
      <w:color w:val="800080"/>
      <w:u w:val="single"/>
    </w:rPr>
  </w:style>
  <w:style w:type="character" w:customStyle="1" w:styleId="Bodytext2">
    <w:name w:val="Body text (2)_"/>
    <w:link w:val="Bodytext20"/>
    <w:rsid w:val="00346CE4"/>
    <w:rPr>
      <w:sz w:val="28"/>
      <w:szCs w:val="28"/>
      <w:shd w:val="clear" w:color="auto" w:fill="FFFFFF"/>
    </w:rPr>
  </w:style>
  <w:style w:type="paragraph" w:customStyle="1" w:styleId="Bodytext20">
    <w:name w:val="Body text (2)"/>
    <w:basedOn w:val="a"/>
    <w:link w:val="Bodytext2"/>
    <w:rsid w:val="00346CE4"/>
    <w:pPr>
      <w:widowControl w:val="0"/>
      <w:shd w:val="clear" w:color="auto" w:fill="FFFFFF"/>
      <w:spacing w:before="900" w:after="300" w:line="322" w:lineRule="exact"/>
      <w:ind w:firstLine="0"/>
    </w:pPr>
    <w:rPr>
      <w:rFonts w:asciiTheme="minorHAnsi" w:eastAsiaTheme="minorHAnsi" w:hAnsiTheme="minorHAnsi" w:cstheme="minorBidi"/>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lex.europa.eu/legal-content/EN/TXT/?uri=CELEX:32020D0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13850</Words>
  <Characters>78950</Characters>
  <Application>Microsoft Office Word</Application>
  <DocSecurity>0</DocSecurity>
  <Lines>657</Lines>
  <Paragraphs>185</Paragraphs>
  <ScaleCrop>false</ScaleCrop>
  <Company/>
  <LinksUpToDate>false</LinksUpToDate>
  <CharactersWithSpaces>92615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Violina VL. Lungu</dc:creator>
  <cp:keywords/>
  <dc:description/>
  <cp:lastModifiedBy>Violina VL. Lungu</cp:lastModifiedBy>
  <cp:revision>5</cp:revision>
  <dcterms:created xsi:type="dcterms:W3CDTF">2021-01-29T15:23:00Z</dcterms:created>
  <dcterms:modified xsi:type="dcterms:W3CDTF">2021-01-29T15:28:00Z</dcterms:modified>
</cp:coreProperties>
</file>